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Times New Roman" w:eastAsia="方正小标宋简体" w:cs="FZXBSK--GBK1-0"/>
          <w:color w:val="auto"/>
          <w:kern w:val="0"/>
          <w:sz w:val="44"/>
          <w:szCs w:val="44"/>
          <w:lang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Times New Roman" w:eastAsia="方正小标宋简体" w:cs="FZXBSK--GBK1-0"/>
          <w:color w:val="auto"/>
          <w:kern w:val="0"/>
          <w:sz w:val="44"/>
          <w:szCs w:val="44"/>
          <w:lang w:eastAsia="zh-CN"/>
        </w:rPr>
      </w:pPr>
      <w:r>
        <w:rPr>
          <w:rFonts w:hint="eastAsia" w:ascii="方正小标宋简体" w:hAnsi="Times New Roman" w:eastAsia="方正小标宋简体" w:cs="FZXBSK--GBK1-0"/>
          <w:color w:val="auto"/>
          <w:kern w:val="0"/>
          <w:sz w:val="44"/>
          <w:szCs w:val="44"/>
          <w:lang w:eastAsia="zh-CN"/>
        </w:rPr>
        <w:t>平顶山市河道保护条例（草案）</w:t>
      </w:r>
    </w:p>
    <w:p>
      <w:pPr>
        <w:keepNext w:val="0"/>
        <w:keepLines w:val="0"/>
        <w:pageBreakBefore w:val="0"/>
        <w:widowControl w:val="0"/>
        <w:kinsoku/>
        <w:wordWrap/>
        <w:overflowPunct/>
        <w:topLinePunct w:val="0"/>
        <w:bidi w:val="0"/>
        <w:snapToGrid/>
        <w:spacing w:line="560" w:lineRule="exact"/>
        <w:jc w:val="center"/>
        <w:textAlignment w:val="auto"/>
        <w:rPr>
          <w:rFonts w:hint="eastAsia"/>
          <w:color w:val="auto"/>
          <w:sz w:val="44"/>
          <w:szCs w:val="44"/>
          <w:lang w:eastAsia="zh-CN"/>
        </w:rPr>
      </w:pPr>
      <w:r>
        <w:rPr>
          <w:rFonts w:hint="eastAsia" w:ascii="楷体" w:hAnsi="楷体" w:eastAsia="楷体" w:cs="楷体"/>
          <w:color w:val="auto"/>
          <w:kern w:val="0"/>
          <w:sz w:val="32"/>
          <w:szCs w:val="32"/>
          <w:lang w:eastAsia="zh-CN"/>
        </w:rPr>
        <w:t>（征求意见稿）</w:t>
      </w:r>
    </w:p>
    <w:p>
      <w:pPr>
        <w:keepNext w:val="0"/>
        <w:keepLines w:val="0"/>
        <w:pageBreakBefore w:val="0"/>
        <w:widowControl w:val="0"/>
        <w:kinsoku/>
        <w:wordWrap/>
        <w:overflowPunct/>
        <w:topLinePunct w:val="0"/>
        <w:bidi w:val="0"/>
        <w:snapToGrid/>
        <w:spacing w:line="560" w:lineRule="exact"/>
        <w:textAlignment w:val="auto"/>
        <w:rPr>
          <w:rFonts w:hint="eastAsia"/>
          <w:color w:val="auto"/>
          <w:sz w:val="32"/>
          <w:szCs w:val="32"/>
          <w:lang w:eastAsia="zh-CN"/>
        </w:rPr>
      </w:pPr>
    </w:p>
    <w:p>
      <w:pPr>
        <w:keepNext w:val="0"/>
        <w:keepLines w:val="0"/>
        <w:pageBreakBefore w:val="0"/>
        <w:widowControl w:val="0"/>
        <w:kinsoku/>
        <w:wordWrap/>
        <w:overflowPunct/>
        <w:topLinePunct w:val="0"/>
        <w:bidi w:val="0"/>
        <w:snapToGrid/>
        <w:spacing w:line="560" w:lineRule="exact"/>
        <w:textAlignment w:val="auto"/>
        <w:rPr>
          <w:rFonts w:hint="eastAsia"/>
          <w:color w:val="auto"/>
          <w:sz w:val="32"/>
          <w:szCs w:val="32"/>
          <w:lang w:eastAsia="zh-CN"/>
        </w:rPr>
      </w:pPr>
      <w:bookmarkStart w:id="4" w:name="_GoBack"/>
      <w:bookmarkEnd w:id="4"/>
    </w:p>
    <w:p>
      <w:pPr>
        <w:keepNext w:val="0"/>
        <w:keepLines w:val="0"/>
        <w:pageBreakBefore w:val="0"/>
        <w:widowControl w:val="0"/>
        <w:kinsoku/>
        <w:wordWrap/>
        <w:overflowPunct/>
        <w:topLinePunct w:val="0"/>
        <w:bidi w:val="0"/>
        <w:snapToGrid/>
        <w:spacing w:line="560" w:lineRule="exact"/>
        <w:textAlignment w:val="auto"/>
        <w:rPr>
          <w:rFonts w:hint="eastAsia"/>
          <w:color w:val="auto"/>
          <w:sz w:val="32"/>
          <w:szCs w:val="32"/>
          <w:lang w:eastAsia="zh-CN"/>
        </w:rPr>
      </w:pPr>
    </w:p>
    <w:p>
      <w:pPr>
        <w:keepNext w:val="0"/>
        <w:keepLines w:val="0"/>
        <w:pageBreakBefore w:val="0"/>
        <w:widowControl w:val="0"/>
        <w:numPr>
          <w:ilvl w:val="0"/>
          <w:numId w:val="0"/>
        </w:numPr>
        <w:kinsoku/>
        <w:wordWrap/>
        <w:overflowPunct/>
        <w:topLinePunct w:val="0"/>
        <w:bidi w:val="0"/>
        <w:snapToGrid/>
        <w:spacing w:line="560" w:lineRule="exact"/>
        <w:ind w:firstLine="3840" w:firstLineChars="1200"/>
        <w:jc w:val="left"/>
        <w:textAlignment w:val="auto"/>
        <w:rPr>
          <w:rFonts w:hint="eastAsia"/>
          <w:color w:val="auto"/>
          <w:sz w:val="32"/>
          <w:szCs w:val="32"/>
          <w:lang w:val="en-US" w:eastAsia="zh-CN"/>
        </w:rPr>
      </w:pPr>
      <w:r>
        <w:rPr>
          <w:rFonts w:hint="eastAsia" w:ascii="黑体" w:hAnsi="黑体" w:eastAsia="黑体" w:cs="黑体"/>
          <w:color w:val="auto"/>
          <w:sz w:val="32"/>
          <w:szCs w:val="32"/>
          <w:lang w:val="en-US" w:eastAsia="zh-CN"/>
        </w:rPr>
        <w:t>目   录</w:t>
      </w:r>
    </w:p>
    <w:p>
      <w:pPr>
        <w:keepNext w:val="0"/>
        <w:keepLines w:val="0"/>
        <w:pageBreakBefore w:val="0"/>
        <w:widowControl w:val="0"/>
        <w:kinsoku/>
        <w:wordWrap/>
        <w:overflowPunct/>
        <w:topLinePunct w:val="0"/>
        <w:bidi w:val="0"/>
        <w:snapToGrid/>
        <w:spacing w:line="560" w:lineRule="exact"/>
        <w:ind w:firstLine="4160" w:firstLineChars="1300"/>
        <w:textAlignment w:val="auto"/>
        <w:rPr>
          <w:rFonts w:hint="eastAsia" w:ascii="黑体" w:hAnsi="黑体" w:eastAsia="黑体" w:cs="黑体"/>
          <w:color w:val="auto"/>
          <w:sz w:val="32"/>
          <w:szCs w:val="32"/>
          <w:lang w:eastAsia="zh-CN"/>
        </w:rPr>
      </w:pPr>
    </w:p>
    <w:p>
      <w:pPr>
        <w:keepNext w:val="0"/>
        <w:keepLines w:val="0"/>
        <w:pageBreakBefore w:val="0"/>
        <w:widowControl w:val="0"/>
        <w:numPr>
          <w:numId w:val="0"/>
        </w:numPr>
        <w:kinsoku/>
        <w:wordWrap/>
        <w:overflowPunct/>
        <w:topLinePunct w:val="0"/>
        <w:bidi w:val="0"/>
        <w:snapToGrid/>
        <w:spacing w:line="560" w:lineRule="exact"/>
        <w:ind w:firstLine="1280" w:firstLineChars="400"/>
        <w:jc w:val="left"/>
        <w:textAlignment w:val="auto"/>
        <w:rPr>
          <w:rFonts w:hint="eastAsia"/>
          <w:color w:val="auto"/>
          <w:sz w:val="32"/>
          <w:szCs w:val="32"/>
          <w:lang w:val="en-US" w:eastAsia="zh-CN"/>
        </w:rPr>
      </w:pPr>
      <w:r>
        <w:rPr>
          <w:rFonts w:hint="eastAsia"/>
          <w:color w:val="auto"/>
          <w:sz w:val="32"/>
          <w:szCs w:val="32"/>
          <w:lang w:val="en-US" w:eastAsia="zh-CN"/>
        </w:rPr>
        <w:t>第一章  总则</w:t>
      </w:r>
    </w:p>
    <w:p>
      <w:pPr>
        <w:keepNext w:val="0"/>
        <w:keepLines w:val="0"/>
        <w:pageBreakBefore w:val="0"/>
        <w:widowControl w:val="0"/>
        <w:numPr>
          <w:numId w:val="0"/>
        </w:numPr>
        <w:kinsoku/>
        <w:wordWrap/>
        <w:overflowPunct/>
        <w:topLinePunct w:val="0"/>
        <w:bidi w:val="0"/>
        <w:snapToGrid/>
        <w:spacing w:line="560" w:lineRule="exact"/>
        <w:ind w:firstLine="1280" w:firstLineChars="400"/>
        <w:jc w:val="left"/>
        <w:textAlignment w:val="auto"/>
        <w:rPr>
          <w:rFonts w:hint="default"/>
          <w:color w:val="auto"/>
          <w:sz w:val="32"/>
          <w:szCs w:val="32"/>
          <w:lang w:val="en-US" w:eastAsia="zh-CN"/>
        </w:rPr>
      </w:pPr>
      <w:r>
        <w:rPr>
          <w:rFonts w:hint="eastAsia"/>
          <w:color w:val="auto"/>
          <w:sz w:val="32"/>
          <w:szCs w:val="32"/>
          <w:lang w:val="en-US" w:eastAsia="zh-CN"/>
        </w:rPr>
        <w:t>第二章  河长制</w:t>
      </w:r>
    </w:p>
    <w:p>
      <w:pPr>
        <w:keepNext w:val="0"/>
        <w:keepLines w:val="0"/>
        <w:pageBreakBefore w:val="0"/>
        <w:widowControl w:val="0"/>
        <w:numPr>
          <w:numId w:val="0"/>
        </w:numPr>
        <w:kinsoku/>
        <w:wordWrap/>
        <w:overflowPunct/>
        <w:topLinePunct w:val="0"/>
        <w:bidi w:val="0"/>
        <w:snapToGrid/>
        <w:spacing w:line="560" w:lineRule="exact"/>
        <w:ind w:firstLine="1280" w:firstLineChars="400"/>
        <w:jc w:val="left"/>
        <w:textAlignment w:val="auto"/>
        <w:rPr>
          <w:rFonts w:hint="default"/>
          <w:color w:val="auto"/>
          <w:sz w:val="32"/>
          <w:szCs w:val="32"/>
          <w:lang w:val="en-US" w:eastAsia="zh-CN"/>
        </w:rPr>
      </w:pPr>
      <w:r>
        <w:rPr>
          <w:rFonts w:hint="eastAsia"/>
          <w:color w:val="auto"/>
          <w:sz w:val="32"/>
          <w:szCs w:val="32"/>
          <w:lang w:val="en-US" w:eastAsia="zh-CN"/>
        </w:rPr>
        <w:t>第三章  河道整治与建设</w:t>
      </w:r>
    </w:p>
    <w:p>
      <w:pPr>
        <w:keepNext w:val="0"/>
        <w:keepLines w:val="0"/>
        <w:pageBreakBefore w:val="0"/>
        <w:widowControl w:val="0"/>
        <w:numPr>
          <w:numId w:val="0"/>
        </w:numPr>
        <w:kinsoku/>
        <w:wordWrap/>
        <w:overflowPunct/>
        <w:topLinePunct w:val="0"/>
        <w:bidi w:val="0"/>
        <w:snapToGrid/>
        <w:spacing w:line="560" w:lineRule="exact"/>
        <w:ind w:firstLine="1280" w:firstLineChars="400"/>
        <w:jc w:val="left"/>
        <w:textAlignment w:val="auto"/>
        <w:rPr>
          <w:rFonts w:hint="default"/>
          <w:color w:val="auto"/>
          <w:sz w:val="32"/>
          <w:szCs w:val="32"/>
          <w:lang w:val="en-US" w:eastAsia="zh-CN"/>
        </w:rPr>
      </w:pPr>
      <w:r>
        <w:rPr>
          <w:rFonts w:hint="eastAsia"/>
          <w:color w:val="auto"/>
          <w:sz w:val="32"/>
          <w:szCs w:val="32"/>
          <w:lang w:val="en-US" w:eastAsia="zh-CN"/>
        </w:rPr>
        <w:t xml:space="preserve">第四章  </w:t>
      </w:r>
      <w:r>
        <w:rPr>
          <w:rFonts w:hint="default"/>
          <w:color w:val="auto"/>
          <w:sz w:val="32"/>
          <w:szCs w:val="32"/>
          <w:lang w:val="en-US" w:eastAsia="zh-CN"/>
        </w:rPr>
        <w:t>河道保护与管理</w:t>
      </w:r>
    </w:p>
    <w:p>
      <w:pPr>
        <w:keepNext w:val="0"/>
        <w:keepLines w:val="0"/>
        <w:pageBreakBefore w:val="0"/>
        <w:widowControl w:val="0"/>
        <w:numPr>
          <w:numId w:val="0"/>
        </w:numPr>
        <w:kinsoku/>
        <w:wordWrap/>
        <w:overflowPunct/>
        <w:topLinePunct w:val="0"/>
        <w:bidi w:val="0"/>
        <w:snapToGrid/>
        <w:spacing w:line="560" w:lineRule="exact"/>
        <w:ind w:firstLine="1280" w:firstLineChars="400"/>
        <w:jc w:val="left"/>
        <w:textAlignment w:val="auto"/>
        <w:rPr>
          <w:rFonts w:hint="default"/>
          <w:color w:val="auto"/>
          <w:sz w:val="32"/>
          <w:szCs w:val="32"/>
          <w:lang w:val="en-US" w:eastAsia="zh-CN"/>
        </w:rPr>
      </w:pPr>
      <w:r>
        <w:rPr>
          <w:rFonts w:hint="eastAsia"/>
          <w:color w:val="auto"/>
          <w:sz w:val="32"/>
          <w:szCs w:val="32"/>
          <w:lang w:val="en-US" w:eastAsia="zh-CN"/>
        </w:rPr>
        <w:t>第五章  法律责任</w:t>
      </w:r>
    </w:p>
    <w:p>
      <w:pPr>
        <w:keepNext w:val="0"/>
        <w:keepLines w:val="0"/>
        <w:pageBreakBefore w:val="0"/>
        <w:widowControl w:val="0"/>
        <w:numPr>
          <w:numId w:val="0"/>
        </w:numPr>
        <w:kinsoku/>
        <w:wordWrap/>
        <w:overflowPunct/>
        <w:topLinePunct w:val="0"/>
        <w:bidi w:val="0"/>
        <w:snapToGrid/>
        <w:spacing w:line="560" w:lineRule="exact"/>
        <w:ind w:firstLine="1280" w:firstLineChars="400"/>
        <w:jc w:val="left"/>
        <w:textAlignment w:val="auto"/>
        <w:rPr>
          <w:rFonts w:hint="default"/>
          <w:color w:val="auto"/>
          <w:sz w:val="32"/>
          <w:szCs w:val="32"/>
          <w:lang w:val="en-US" w:eastAsia="zh-CN"/>
        </w:rPr>
      </w:pPr>
      <w:r>
        <w:rPr>
          <w:rFonts w:hint="eastAsia"/>
          <w:color w:val="auto"/>
          <w:sz w:val="32"/>
          <w:szCs w:val="32"/>
          <w:lang w:val="en-US" w:eastAsia="zh-CN"/>
        </w:rPr>
        <w:t>第六章  附则</w:t>
      </w: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jc w:val="both"/>
        <w:textAlignment w:val="auto"/>
        <w:rPr>
          <w:rFonts w:hint="eastAsia" w:ascii="黑体" w:hAnsi="黑体" w:eastAsia="黑体" w:cs="FZSSK--GBK1-0"/>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jc w:val="center"/>
        <w:textAlignment w:val="auto"/>
        <w:rPr>
          <w:rFonts w:hint="eastAsia" w:ascii="黑体" w:hAnsi="黑体" w:eastAsia="黑体" w:cs="FZSSK--GBK1-0"/>
          <w:color w:val="auto"/>
          <w:kern w:val="0"/>
          <w:sz w:val="32"/>
          <w:szCs w:val="32"/>
        </w:rPr>
      </w:pPr>
      <w:r>
        <w:rPr>
          <w:rFonts w:hint="eastAsia" w:ascii="黑体" w:hAnsi="黑体" w:eastAsia="黑体" w:cs="FZSSK--GBK1-0"/>
          <w:color w:val="auto"/>
          <w:kern w:val="0"/>
          <w:sz w:val="32"/>
          <w:szCs w:val="32"/>
        </w:rPr>
        <w:t>第一章　总　则</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 w:hAnsi="仿宋" w:eastAsia="仿宋" w:cs="仿宋"/>
          <w:color w:val="auto"/>
          <w:sz w:val="32"/>
          <w:szCs w:val="32"/>
          <w:lang w:val="en-US" w:eastAsia="zh-CN"/>
        </w:rPr>
        <w:t xml:space="preserve"> 为了加强河道管理</w:t>
      </w:r>
      <w:r>
        <w:rPr>
          <w:rFonts w:hint="eastAsia" w:ascii="仿宋" w:hAnsi="仿宋" w:eastAsia="仿宋" w:cs="仿宋"/>
          <w:strike w:val="0"/>
          <w:dstrike w:val="0"/>
          <w:color w:val="auto"/>
          <w:sz w:val="32"/>
          <w:szCs w:val="32"/>
          <w:lang w:val="en-US" w:eastAsia="zh-CN"/>
        </w:rPr>
        <w:t>保护</w:t>
      </w:r>
      <w:r>
        <w:rPr>
          <w:rFonts w:hint="eastAsia" w:ascii="仿宋" w:hAnsi="仿宋" w:eastAsia="仿宋" w:cs="仿宋"/>
          <w:color w:val="auto"/>
          <w:sz w:val="32"/>
          <w:szCs w:val="32"/>
          <w:lang w:val="en-US" w:eastAsia="zh-CN"/>
        </w:rPr>
        <w:t>，发挥河道综合功能，保障防洪</w:t>
      </w:r>
      <w:r>
        <w:rPr>
          <w:rFonts w:hint="eastAsia" w:ascii="仿宋" w:hAnsi="仿宋" w:eastAsia="仿宋" w:cs="仿宋"/>
          <w:strike w:val="0"/>
          <w:dstrike w:val="0"/>
          <w:color w:val="auto"/>
          <w:sz w:val="32"/>
          <w:szCs w:val="32"/>
          <w:lang w:val="en-US" w:eastAsia="zh-CN"/>
        </w:rPr>
        <w:t>安全、</w:t>
      </w:r>
      <w:r>
        <w:rPr>
          <w:rFonts w:hint="eastAsia" w:ascii="仿宋" w:hAnsi="仿宋" w:eastAsia="仿宋" w:cs="仿宋"/>
          <w:color w:val="auto"/>
          <w:sz w:val="32"/>
          <w:szCs w:val="32"/>
          <w:u w:val="none"/>
          <w:lang w:val="en-US" w:eastAsia="zh-CN"/>
        </w:rPr>
        <w:t>供水安全和</w:t>
      </w:r>
      <w:r>
        <w:rPr>
          <w:rFonts w:hint="eastAsia" w:ascii="仿宋" w:hAnsi="仿宋" w:eastAsia="仿宋" w:cs="仿宋"/>
          <w:color w:val="auto"/>
          <w:sz w:val="32"/>
          <w:szCs w:val="32"/>
          <w:lang w:val="en-US" w:eastAsia="zh-CN"/>
        </w:rPr>
        <w:t>水生态</w:t>
      </w:r>
      <w:r>
        <w:rPr>
          <w:rFonts w:hint="eastAsia" w:ascii="仿宋" w:hAnsi="仿宋" w:eastAsia="仿宋" w:cs="仿宋"/>
          <w:strike w:val="0"/>
          <w:dstrike w:val="0"/>
          <w:color w:val="auto"/>
          <w:sz w:val="32"/>
          <w:szCs w:val="32"/>
          <w:lang w:val="en-US" w:eastAsia="zh-CN"/>
        </w:rPr>
        <w:t>安全</w:t>
      </w:r>
      <w:r>
        <w:rPr>
          <w:rFonts w:hint="eastAsia" w:ascii="仿宋" w:hAnsi="仿宋" w:eastAsia="仿宋" w:cs="仿宋"/>
          <w:color w:val="auto"/>
          <w:sz w:val="32"/>
          <w:szCs w:val="32"/>
          <w:lang w:val="en-US" w:eastAsia="zh-CN"/>
        </w:rPr>
        <w:t>，根据《中华人民共和国水法》、《中华人民共和国防洪法》、《中华人民共和国河道管理条例》等有关法律、法规的规定，结合本市实际，制定本条例。</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 w:hAnsi="仿宋" w:eastAsia="仿宋" w:cs="仿宋"/>
          <w:color w:val="auto"/>
          <w:sz w:val="32"/>
          <w:szCs w:val="32"/>
          <w:lang w:val="en-US" w:eastAsia="zh-CN"/>
        </w:rPr>
        <w:t xml:space="preserve"> 本条例适用于本市行政区域内河道（包括河流、水库、人工水道、行洪区）。</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本市行政区域内南水北调工程、水库及涉河水利工程的管理和保护，法律、法规另有规定的，从其规定。</w:t>
      </w: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w:t>
      </w:r>
      <w:r>
        <w:rPr>
          <w:rFonts w:hint="eastAsia" w:ascii="黑体" w:hAnsi="黑体" w:eastAsia="黑体" w:cs="黑体"/>
          <w:color w:val="auto"/>
          <w:sz w:val="32"/>
          <w:szCs w:val="32"/>
          <w:lang w:val="en-US" w:eastAsia="zh-CN"/>
        </w:rPr>
        <w:t>第三条</w:t>
      </w:r>
      <w:r>
        <w:rPr>
          <w:rFonts w:hint="eastAsia" w:ascii="仿宋" w:hAnsi="仿宋" w:eastAsia="仿宋" w:cs="仿宋"/>
          <w:color w:val="auto"/>
          <w:sz w:val="32"/>
          <w:szCs w:val="32"/>
          <w:lang w:val="en-US" w:eastAsia="zh-CN"/>
        </w:rPr>
        <w:t xml:space="preserve"> 河道管理保护应当遵循自然规律，坚持科学规划、保护优先、系统治理、综合利用的原则。</w:t>
      </w: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黑体" w:hAnsi="黑体" w:eastAsia="黑体" w:cs="黑体"/>
          <w:color w:val="auto"/>
          <w:sz w:val="32"/>
          <w:szCs w:val="32"/>
          <w:lang w:val="en-US" w:eastAsia="zh-CN"/>
        </w:rPr>
        <w:t>第四条</w:t>
      </w:r>
      <w:r>
        <w:rPr>
          <w:rFonts w:hint="eastAsia" w:ascii="仿宋" w:hAnsi="仿宋" w:eastAsia="仿宋" w:cs="仿宋"/>
          <w:color w:val="auto"/>
          <w:sz w:val="32"/>
          <w:szCs w:val="32"/>
          <w:lang w:val="en-US" w:eastAsia="zh-CN"/>
        </w:rPr>
        <w:t xml:space="preserve"> 县级以上人民政府应当加强河道管理保护工作，将其纳入国民经济和社会发展计划，建立健全河道管理单位，将河道</w:t>
      </w:r>
      <w:r>
        <w:rPr>
          <w:rFonts w:hint="eastAsia" w:ascii="仿宋" w:hAnsi="仿宋" w:eastAsia="仿宋" w:cs="仿宋"/>
          <w:strike w:val="0"/>
          <w:dstrike w:val="0"/>
          <w:color w:val="auto"/>
          <w:sz w:val="32"/>
          <w:szCs w:val="32"/>
          <w:lang w:val="en-US" w:eastAsia="zh-CN"/>
        </w:rPr>
        <w:t>清淤、维修养护、生态补水、管理运行</w:t>
      </w:r>
      <w:r>
        <w:rPr>
          <w:rFonts w:hint="eastAsia" w:ascii="仿宋" w:hAnsi="仿宋" w:eastAsia="仿宋" w:cs="仿宋"/>
          <w:color w:val="auto"/>
          <w:sz w:val="32"/>
          <w:szCs w:val="32"/>
          <w:lang w:val="en-US" w:eastAsia="zh-CN"/>
        </w:rPr>
        <w:t>等所需经费纳入财政预算。</w:t>
      </w: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w:t>
      </w:r>
      <w:r>
        <w:rPr>
          <w:rFonts w:hint="eastAsia" w:ascii="黑体" w:hAnsi="黑体" w:eastAsia="黑体" w:cs="黑体"/>
          <w:color w:val="auto"/>
          <w:sz w:val="32"/>
          <w:szCs w:val="32"/>
          <w:lang w:val="en-US" w:eastAsia="zh-CN"/>
        </w:rPr>
        <w:t>第五条</w:t>
      </w:r>
      <w:r>
        <w:rPr>
          <w:rFonts w:hint="eastAsia" w:ascii="仿宋" w:hAnsi="仿宋" w:eastAsia="仿宋" w:cs="仿宋"/>
          <w:color w:val="auto"/>
          <w:sz w:val="32"/>
          <w:szCs w:val="32"/>
          <w:lang w:val="en-US" w:eastAsia="zh-CN"/>
        </w:rPr>
        <w:t xml:space="preserve">  市、县级人民政府水行政主管部门是本行政区域内的河道主管机关。</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发展和改革、财政、公安、自然资源和规划、</w:t>
      </w:r>
      <w:r>
        <w:rPr>
          <w:rFonts w:hint="eastAsia" w:ascii="仿宋" w:hAnsi="仿宋" w:eastAsia="仿宋" w:cs="仿宋"/>
          <w:strike w:val="0"/>
          <w:dstrike w:val="0"/>
          <w:color w:val="auto"/>
          <w:sz w:val="32"/>
          <w:szCs w:val="32"/>
          <w:lang w:val="en-US" w:eastAsia="zh-CN"/>
        </w:rPr>
        <w:t>生态环境、</w:t>
      </w:r>
      <w:r>
        <w:rPr>
          <w:rFonts w:hint="eastAsia" w:ascii="仿宋" w:hAnsi="仿宋" w:eastAsia="仿宋" w:cs="仿宋"/>
          <w:color w:val="auto"/>
          <w:sz w:val="32"/>
          <w:szCs w:val="32"/>
          <w:lang w:val="en-US" w:eastAsia="zh-CN"/>
        </w:rPr>
        <w:t>交通运输、城市管理、应急管理、农业农村、林业等有关部门应当按照各自职责，共同做好河道管理保护相关工作。</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乡镇人民政府、街道办事处应当按照规定职责做好本区域内河道管理保护的相关工作。村（居）民委员会应当协助做好本区域内河道的管理和保洁工作。</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第六条 </w:t>
      </w:r>
      <w:r>
        <w:rPr>
          <w:rFonts w:hint="eastAsia" w:ascii="仿宋" w:hAnsi="仿宋" w:eastAsia="仿宋" w:cs="仿宋"/>
          <w:color w:val="auto"/>
          <w:sz w:val="32"/>
          <w:szCs w:val="32"/>
          <w:lang w:val="en-US" w:eastAsia="zh-CN"/>
        </w:rPr>
        <w:t>全面实行河长制，构建责任明确、协调有序、监管严格、保护有力的管理机制。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 w:hAnsi="仿宋" w:eastAsia="仿宋" w:cs="仿宋"/>
          <w:color w:val="auto"/>
          <w:sz w:val="32"/>
          <w:szCs w:val="32"/>
          <w:lang w:val="en-US" w:eastAsia="zh-CN"/>
        </w:rPr>
        <w:t xml:space="preserve">  河道管理</w:t>
      </w:r>
      <w:r>
        <w:rPr>
          <w:rFonts w:hint="eastAsia" w:ascii="仿宋" w:hAnsi="仿宋" w:eastAsia="仿宋" w:cs="仿宋"/>
          <w:color w:val="auto"/>
          <w:sz w:val="32"/>
          <w:szCs w:val="32"/>
        </w:rPr>
        <w:t>实行统一管理与分级管理相结合的体制，</w:t>
      </w:r>
      <w:r>
        <w:rPr>
          <w:rFonts w:hint="eastAsia" w:ascii="仿宋" w:hAnsi="仿宋" w:eastAsia="仿宋" w:cs="仿宋"/>
          <w:color w:val="auto"/>
          <w:sz w:val="32"/>
          <w:szCs w:val="32"/>
          <w:lang w:val="en-US" w:eastAsia="zh-CN"/>
        </w:rPr>
        <w:t>划分为省级主要河道、市级主要河道、县级主要河道和其他河道。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省级主要河道按照省有关规定，由市、县级人民政府协同省水行政主管部门实施管理；市级主要河道由市河道主管机关及所在县（市、区）的河道主管机关共同实施管理；</w:t>
      </w:r>
      <w:r>
        <w:rPr>
          <w:rFonts w:hint="eastAsia" w:ascii="仿宋" w:hAnsi="仿宋" w:eastAsia="仿宋" w:cs="仿宋"/>
          <w:color w:val="auto"/>
          <w:sz w:val="32"/>
          <w:szCs w:val="32"/>
        </w:rPr>
        <w:t>县</w:t>
      </w:r>
      <w:r>
        <w:rPr>
          <w:rFonts w:hint="eastAsia" w:ascii="仿宋" w:hAnsi="仿宋" w:eastAsia="仿宋" w:cs="仿宋"/>
          <w:color w:val="auto"/>
          <w:sz w:val="32"/>
          <w:szCs w:val="32"/>
          <w:lang w:val="en-US" w:eastAsia="zh-CN"/>
        </w:rPr>
        <w:t>级主</w:t>
      </w:r>
      <w:r>
        <w:rPr>
          <w:rFonts w:hint="eastAsia" w:ascii="仿宋" w:hAnsi="仿宋" w:eastAsia="仿宋" w:cs="仿宋"/>
          <w:color w:val="auto"/>
          <w:sz w:val="32"/>
          <w:szCs w:val="32"/>
        </w:rPr>
        <w:t>要河道和一般河道由县级市（区）人民政府明确实施管理的单位。</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县主要河道名录的确定和调整分别由市、县级人民政府水行政主管部门拟定，经本级人民政府批准后公布，并报上一级人民政府水行政主管部门备案。河道名录应当包括流域、水系、名称、起止点、面积、河道和堤防长度、责任主体等内容。</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省主要河道和水库的分类以及名录管理按照省有关规定执行。</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 w:hAnsi="仿宋" w:eastAsia="仿宋" w:cs="仿宋"/>
          <w:color w:val="auto"/>
          <w:sz w:val="32"/>
          <w:szCs w:val="32"/>
          <w:lang w:val="en-US" w:eastAsia="zh-CN"/>
        </w:rPr>
        <w:t>　县级以上人民政府批准设立的河道专管机构和河道相关水利工程、国家公园、自然保护区、湿地保护区等专管机构应当按照职责做好管理范围内的河道管理保护的相关工作。</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市城区内的河道管理保护由市、县级人民政府确定的部门负责。</w:t>
      </w:r>
    </w:p>
    <w:p>
      <w:pPr>
        <w:keepNext w:val="0"/>
        <w:keepLines w:val="0"/>
        <w:pageBreakBefore w:val="0"/>
        <w:widowControl w:val="0"/>
        <w:numPr>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第九条</w:t>
      </w:r>
      <w:r>
        <w:rPr>
          <w:rFonts w:hint="eastAsia" w:ascii="仿宋" w:hAnsi="仿宋" w:eastAsia="仿宋" w:cs="仿宋"/>
          <w:color w:val="auto"/>
          <w:kern w:val="2"/>
          <w:sz w:val="32"/>
          <w:szCs w:val="32"/>
          <w:lang w:val="en-US" w:eastAsia="zh-CN" w:bidi="ar-SA"/>
        </w:rPr>
        <w:t xml:space="preserve">  任何单位和个人都有保护河道堤防安全和依法参加防汛抢险的义务，有权对破坏河道及其设施、损害或者污染河道生态环境的行为进行劝阻、制止和投诉举报。</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对在河湖保护和治理中做出显著成绩的单位和个人，按照有关规定给予表彰和奖励。</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第二章  河长制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第十条　</w:t>
      </w:r>
      <w:r>
        <w:rPr>
          <w:rFonts w:hint="eastAsia" w:ascii="仿宋" w:hAnsi="仿宋" w:eastAsia="仿宋" w:cs="仿宋"/>
          <w:color w:val="auto"/>
          <w:sz w:val="32"/>
          <w:szCs w:val="32"/>
          <w:lang w:val="en-US" w:eastAsia="zh-CN"/>
        </w:rPr>
        <w:t>全面实行河长制，落实河道管理保护地方主体责任，建立健全部门联动综合治理长效机制，统筹推进水资源</w:t>
      </w:r>
      <w:r>
        <w:rPr>
          <w:rFonts w:hint="eastAsia" w:ascii="仿宋" w:hAnsi="仿宋" w:eastAsia="仿宋" w:cs="仿宋"/>
          <w:color w:val="auto"/>
          <w:sz w:val="32"/>
          <w:szCs w:val="32"/>
          <w:u w:val="none"/>
          <w:lang w:val="en-US" w:eastAsia="zh-CN"/>
        </w:rPr>
        <w:t>节约</w:t>
      </w:r>
      <w:r>
        <w:rPr>
          <w:rFonts w:hint="eastAsia" w:ascii="仿宋" w:hAnsi="仿宋" w:eastAsia="仿宋" w:cs="仿宋"/>
          <w:color w:val="auto"/>
          <w:sz w:val="32"/>
          <w:szCs w:val="32"/>
          <w:lang w:val="en-US" w:eastAsia="zh-CN"/>
        </w:rPr>
        <w:t>保护、河道水域岸线管理保护、水污染防治、水环境治理、水生态修复等工作，维护河道健康生命和河道公共安全，提升河道综合功能。</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第十一条 </w:t>
      </w:r>
      <w:r>
        <w:rPr>
          <w:rFonts w:hint="eastAsia" w:ascii="仿宋" w:hAnsi="仿宋" w:eastAsia="仿宋" w:cs="仿宋"/>
          <w:color w:val="auto"/>
          <w:sz w:val="32"/>
          <w:szCs w:val="32"/>
          <w:lang w:val="en-US" w:eastAsia="zh-CN"/>
        </w:rPr>
        <w:t xml:space="preserve"> </w:t>
      </w:r>
      <w:r>
        <w:rPr>
          <w:rFonts w:hint="eastAsia" w:ascii="仿宋" w:hAnsi="仿宋" w:eastAsia="仿宋" w:cs="仿宋"/>
          <w:i w:val="0"/>
          <w:iCs w:val="0"/>
          <w:color w:val="auto"/>
          <w:sz w:val="32"/>
          <w:szCs w:val="32"/>
          <w:u w:val="none"/>
          <w:lang w:val="en-US" w:eastAsia="zh-CN"/>
        </w:rPr>
        <w:t>本市结合自然河系和行政区域建立</w:t>
      </w:r>
      <w:r>
        <w:rPr>
          <w:rFonts w:hint="eastAsia" w:ascii="仿宋" w:hAnsi="仿宋" w:eastAsia="仿宋" w:cs="仿宋"/>
          <w:color w:val="auto"/>
          <w:sz w:val="32"/>
          <w:szCs w:val="32"/>
          <w:lang w:val="en-US" w:eastAsia="zh-CN"/>
        </w:rPr>
        <w:t>市、县、乡、村四级河长体系，河流分级分段设立河长，乡级以上设立总河长。总河长、河长名单应当向社会公布。</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县级以上人民政府应当设置河长制办公室，乡镇人民政府、街道办事处根据实际需要明确负责河长制工作的机构。</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 w:hAnsi="仿宋" w:eastAsia="仿宋" w:cs="仿宋"/>
          <w:color w:val="auto"/>
          <w:sz w:val="32"/>
          <w:szCs w:val="32"/>
          <w:lang w:val="en-US" w:eastAsia="zh-CN"/>
        </w:rPr>
        <w:t xml:space="preserve">  各级总河长对本行政区域内的河道管理和保护负总责，统筹部署、协调、督促、考核本行政区域内河道管理保护工作。各级河长负责组织领导相应河道的管理保护工作。</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市、县级河长负责组织领导本行政区域内相应河流的河长制工作，协调和督促本级有关部门和单位以及下级河长履行河道管理职责，包括</w:t>
      </w:r>
      <w:r>
        <w:rPr>
          <w:rFonts w:hint="eastAsia" w:ascii="仿宋" w:hAnsi="仿宋" w:eastAsia="仿宋" w:cs="仿宋"/>
          <w:color w:val="auto"/>
          <w:sz w:val="32"/>
          <w:szCs w:val="32"/>
          <w:u w:val="none"/>
          <w:lang w:val="en-US" w:eastAsia="zh-CN"/>
        </w:rPr>
        <w:t>水资源节约保护、水域岸线管理、水污染防治、水环境治理、水生态修复</w:t>
      </w:r>
      <w:r>
        <w:rPr>
          <w:rFonts w:hint="eastAsia" w:ascii="仿宋" w:hAnsi="仿宋" w:eastAsia="仿宋" w:cs="仿宋"/>
          <w:color w:val="auto"/>
          <w:sz w:val="32"/>
          <w:szCs w:val="32"/>
          <w:lang w:val="en-US" w:eastAsia="zh-CN"/>
        </w:rPr>
        <w:t>等，督促相关部门处理和解决责任水域出现的问题、依法查处相关违法行为。</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乡级河长负责协调和督促责任水域治理和保护具体任务的落实，对责任水域组织日常巡查，及时协调和督促处理巡查发现的问题，劝阻、制止相关违法行为并履行报告职责。</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村级河长负责对责任水域进行日常巡查，督促落实责任水域日常保洁、护堤等措施，制定村规民约、居民公约等，引导村民、居民自觉维护河道整洁，配合开展河道保护宣传教育和河道整治，劝阻相关违法行为。督促、劝阻无效的，按照有关规定履行报告职责。</w:t>
      </w:r>
    </w:p>
    <w:p>
      <w:pPr>
        <w:keepNext w:val="0"/>
        <w:keepLines w:val="0"/>
        <w:pageBreakBefore w:val="0"/>
        <w:widowControl w:val="0"/>
        <w:numPr>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 w:hAnsi="仿宋" w:eastAsia="仿宋" w:cs="仿宋"/>
          <w:color w:val="auto"/>
          <w:sz w:val="32"/>
          <w:szCs w:val="32"/>
          <w:lang w:val="en-US" w:eastAsia="zh-CN"/>
        </w:rPr>
        <w:t xml:space="preserve">  河长制办公室负责河长制工作的组织实施，组织、协调、监督、指导相关部门和下级河长制工作机构落实河长制工作任务，建立完善协同推进和信息共享工作机制。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河长制责任部门应当按照分工履行职责，加强协调配合，健全联动机制，按照规定向河长制工作机构报告重大事项。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 w:hAnsi="仿宋" w:eastAsia="仿宋" w:cs="仿宋"/>
          <w:color w:val="auto"/>
          <w:sz w:val="32"/>
          <w:szCs w:val="32"/>
          <w:lang w:val="en-US" w:eastAsia="zh-CN"/>
        </w:rPr>
        <w:t>　</w:t>
      </w:r>
      <w:r>
        <w:rPr>
          <w:rFonts w:hint="eastAsia" w:ascii="仿宋" w:hAnsi="仿宋" w:eastAsia="仿宋" w:cs="仿宋"/>
          <w:color w:val="auto"/>
          <w:sz w:val="32"/>
          <w:szCs w:val="32"/>
        </w:rPr>
        <w:t>各级河长应当按照国家和省规定的巡查周期和巡查事项对责任河道进行巡查，并如实记载巡查情况，对巡查发现的问题依法处理。</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 w:hAnsi="仿宋" w:eastAsia="仿宋" w:cs="仿宋"/>
          <w:color w:val="auto"/>
          <w:sz w:val="32"/>
          <w:szCs w:val="32"/>
          <w:lang w:val="en-US" w:eastAsia="zh-CN"/>
        </w:rPr>
        <w:t xml:space="preserve">  各级河长制办公室应当组织设置河长制公示牌。公示牌应当标明河道概况、河长姓名及职务、河长职责、整治目标和管护要求、监督电话等事项，并设置于河道沿岸显著位置。</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公示牌内容变动或者公示牌污损的，应当及时更新。</w:t>
      </w:r>
    </w:p>
    <w:p>
      <w:pPr>
        <w:keepNext w:val="0"/>
        <w:keepLines w:val="0"/>
        <w:pageBreakBefore w:val="0"/>
        <w:widowControl w:val="0"/>
        <w:numPr>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 w:hAnsi="仿宋" w:eastAsia="仿宋" w:cs="仿宋"/>
          <w:color w:val="auto"/>
          <w:sz w:val="32"/>
          <w:szCs w:val="32"/>
          <w:lang w:val="en-US" w:eastAsia="zh-CN"/>
        </w:rPr>
        <w:t xml:space="preserve">  县级及以上河长负责组织对相应河流下一级河长进行考核，考核结果作为地方党政领导干部综合考核评价的重要依据纳入政府绩效考评体系。建立问责和激励机制，对成绩突出的河长及责任单位按照相关规定进行表彰奖励，对失职失责的要严肃问责。</w:t>
      </w:r>
    </w:p>
    <w:p>
      <w:pPr>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第三章　河道整治与建设</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bookmarkStart w:id="0" w:name="9"/>
      <w:r>
        <w:rPr>
          <w:rFonts w:hint="eastAsia" w:ascii="黑体" w:hAnsi="黑体" w:eastAsia="黑体" w:cs="黑体"/>
          <w:color w:val="auto"/>
          <w:sz w:val="32"/>
          <w:szCs w:val="32"/>
          <w:lang w:val="en-US" w:eastAsia="zh-CN"/>
        </w:rPr>
        <w:t xml:space="preserve">第十七条 </w:t>
      </w:r>
      <w:r>
        <w:rPr>
          <w:rFonts w:hint="eastAsia" w:ascii="仿宋" w:hAnsi="仿宋" w:eastAsia="仿宋" w:cs="仿宋"/>
          <w:color w:val="auto"/>
          <w:sz w:val="32"/>
          <w:szCs w:val="32"/>
          <w:lang w:val="en-US" w:eastAsia="zh-CN"/>
        </w:rPr>
        <w:t xml:space="preserve"> 河道的整治与建设，应服从流域综合规划，符合国家规定的防洪、除涝、污水防治、生态修复、通航标准和其它有关技术要求，维护堤防安全，保持河势稳定和行洪、航运通畅，改善河流生态环境。</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河道整治应当尊重河流自然属性，维护河流自然形态，在保障防洪安全前提下优先采用生态工程治理措施。</w:t>
      </w:r>
      <w:bookmarkEnd w:id="0"/>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 w:hAnsi="仿宋" w:eastAsia="仿宋" w:cs="仿宋"/>
          <w:color w:val="auto"/>
          <w:sz w:val="32"/>
          <w:szCs w:val="32"/>
          <w:lang w:val="en-US" w:eastAsia="zh-CN"/>
        </w:rPr>
        <w:t xml:space="preserve">  建设水工程必须符合流域综合规划。在河道上建设水工程，其工程可行性研究报告报请批准前，县级以上人民政府水行政主管部门应当按照管理权限对水工程的建设是否符合流域综合规划进行审查并签署意见。</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 w:hAnsi="仿宋" w:eastAsia="仿宋" w:cs="仿宋"/>
          <w:color w:val="auto"/>
          <w:sz w:val="32"/>
          <w:szCs w:val="32"/>
          <w:lang w:val="en-US" w:eastAsia="zh-CN"/>
        </w:rPr>
        <w:t xml:space="preserve"> 县级以上人民政府水行政主管部门应当根据公布的河道管理范围埋设界桩，并设立河道管理范围标示牌；按照河道名录设立河长公示牌，公开河长制工作的有关信息。</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任何单位和个人不得擅自移动、损毁界桩、标示牌和公示牌。</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仿宋" w:hAnsi="仿宋" w:eastAsia="仿宋" w:cs="仿宋"/>
          <w:color w:val="auto"/>
          <w:sz w:val="32"/>
          <w:szCs w:val="32"/>
          <w:lang w:val="en-US" w:eastAsia="zh-CN"/>
        </w:rPr>
        <w:t>  河道管理应当编制河道整治、河道岸线、河道采砂等专项规划，作为河道保护、管理和利用的依据。专项规划应当服从江河流域综合规划、区域综合规划、防洪规划，与国土空间规划、环境保护规划相协调，兼顾各地区、各行业的需要。</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河道岸线保护与利用规划应当明确外缘边界线、堤顶控制线、临水控制线和保护区、保留区、控制利用区。</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仿宋" w:hAnsi="仿宋" w:eastAsia="仿宋" w:cs="仿宋"/>
          <w:color w:val="auto"/>
          <w:sz w:val="32"/>
          <w:szCs w:val="32"/>
          <w:lang w:val="en-US" w:eastAsia="zh-CN"/>
        </w:rPr>
        <w:t>  河道管理的专项规划由县级以上人民政府水行政主管部门组织编制，征求同级人民政府其他有关部门意见，并公开征求社会公众意见，经本级人民政府批准后公布，报上一级人民政府水行政主管部门备案。</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经批准的河道专项规划需要调整的，应当按照原编制程序批准、公布和备案。</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仿宋" w:hAnsi="仿宋" w:eastAsia="仿宋" w:cs="仿宋"/>
          <w:color w:val="auto"/>
          <w:sz w:val="32"/>
          <w:szCs w:val="32"/>
          <w:lang w:val="en-US" w:eastAsia="zh-CN"/>
        </w:rPr>
        <w:t xml:space="preserve"> 县级以上人民政府应当按照全域水系循环规划开展河道系统治理，坚持跨区域统筹、全域全过程治理，依托现有水利工程设施，推进河道库渠等连通工程建设，逐步实现水系连通，构建引得进、蓄得住、排得出、可调控的全市河道水网体系，增强河道水系抵御旱涝灾害和调蓄水资源的能力。</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eastAsia" w:ascii="仿宋" w:hAnsi="仿宋" w:eastAsia="仿宋" w:cs="仿宋"/>
          <w:color w:val="auto"/>
          <w:sz w:val="32"/>
          <w:szCs w:val="32"/>
          <w:lang w:val="en-US" w:eastAsia="zh-CN"/>
        </w:rPr>
        <w:t xml:space="preserve"> 县级以上人民政府及其有关部门应当全面落实生态保护红线制度，严格审批涉及河道的规划、土地、项目，依法查处并清理河道管理保护范围内的违法违规建设项目。</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城乡建设不得占用河道滩地。城镇规划的临河界限，由河道主管机关会同城镇规划等有关部门确定。沿河城镇在编制和审查城镇规划时，应事先征求河道主管机关的意见。</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河道保护与管理</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第二十四条</w:t>
      </w:r>
      <w:r>
        <w:rPr>
          <w:rFonts w:hint="eastAsia" w:ascii="仿宋" w:hAnsi="仿宋" w:eastAsia="仿宋" w:cs="仿宋"/>
          <w:color w:val="auto"/>
          <w:sz w:val="32"/>
          <w:szCs w:val="32"/>
          <w:lang w:val="en-US" w:eastAsia="zh-CN"/>
        </w:rPr>
        <w:t>　</w:t>
      </w:r>
      <w:bookmarkStart w:id="1" w:name="10"/>
      <w:r>
        <w:rPr>
          <w:rFonts w:hint="eastAsia" w:ascii="仿宋" w:hAnsi="仿宋" w:eastAsia="仿宋" w:cs="仿宋"/>
          <w:color w:val="auto"/>
          <w:sz w:val="32"/>
          <w:szCs w:val="32"/>
          <w:lang w:val="en-US" w:eastAsia="zh-CN"/>
        </w:rPr>
        <w:t>河道的具体管理保护范围，由县级以上人民政府负责依法划定并向社会公布。</w:t>
      </w:r>
    </w:p>
    <w:bookmarkEnd w:id="1"/>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bookmarkStart w:id="2" w:name="11"/>
      <w:r>
        <w:rPr>
          <w:rFonts w:hint="eastAsia" w:ascii="仿宋" w:hAnsi="仿宋" w:eastAsia="仿宋" w:cs="仿宋"/>
          <w:color w:val="auto"/>
          <w:sz w:val="32"/>
          <w:szCs w:val="32"/>
          <w:lang w:val="en-US" w:eastAsia="zh-CN"/>
        </w:rPr>
        <w:t>有堤防的河道，其管理范围为两岸堤防之间的水域、沙洲、滩地（包括可耕地）、行洪区，两岸堤防及护堤地。无堤防的河道，其管理范围根据历史最高洪水位或者设计洪水位确定。</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第二十五条</w:t>
      </w:r>
      <w:r>
        <w:rPr>
          <w:rFonts w:hint="eastAsia" w:ascii="仿宋" w:hAnsi="仿宋" w:eastAsia="仿宋" w:cs="仿宋"/>
          <w:color w:val="auto"/>
          <w:sz w:val="32"/>
          <w:szCs w:val="32"/>
          <w:lang w:val="en-US" w:eastAsia="zh-CN"/>
        </w:rPr>
        <w:t xml:space="preserve"> 根据堤防的重要程度、堤基土质条件等，河道主管机关报经县级以上人民政府批准，在与河道管理范围相连地域划定堤防保护范围。</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主要河道的堤防保护范围为五十米，一般河道堤防保护范围不少于三十米。</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lang w:val="en-US" w:eastAsia="zh-CN"/>
        </w:rPr>
        <w:t>第二十六条</w:t>
      </w:r>
      <w:bookmarkEnd w:id="2"/>
      <w:r>
        <w:rPr>
          <w:rFonts w:hint="eastAsia" w:ascii="仿宋" w:hAnsi="仿宋" w:eastAsia="仿宋" w:cs="仿宋"/>
          <w:color w:val="auto"/>
          <w:sz w:val="32"/>
          <w:szCs w:val="32"/>
          <w:lang w:val="en-US" w:eastAsia="zh-CN"/>
        </w:rPr>
        <w:t>　</w:t>
      </w:r>
      <w:r>
        <w:rPr>
          <w:rFonts w:hint="eastAsia" w:ascii="仿宋" w:hAnsi="仿宋" w:eastAsia="仿宋" w:cs="仿宋"/>
          <w:color w:val="auto"/>
          <w:sz w:val="32"/>
          <w:szCs w:val="32"/>
          <w:u w:val="none"/>
          <w:lang w:val="en-US" w:eastAsia="zh-CN"/>
        </w:rPr>
        <w:t>市人民政府水行政主管部门负责省主要河道的基础调查，组织编制河道管理有关规划，实施河道管理范围内工程建设方案行政许可。河道沿线的市、县级人民政府水行政主管部门负责对本行政区域内的省主要河道实施日常检查监督，依法实施河道管理范围内有关活动的行政许可，查处违法行为。</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第二十七条  </w:t>
      </w:r>
      <w:r>
        <w:rPr>
          <w:rFonts w:hint="eastAsia" w:ascii="仿宋" w:hAnsi="仿宋" w:eastAsia="仿宋" w:cs="仿宋"/>
          <w:color w:val="auto"/>
          <w:sz w:val="32"/>
          <w:szCs w:val="32"/>
          <w:lang w:val="en-US" w:eastAsia="zh-CN"/>
        </w:rPr>
        <w:t xml:space="preserve">县级以上人民政府应当建立河道生态补水长效机制，引足用好外调水，合理配置水库水，鼓励使用非常规水，保障河道基本生态流量（水量），逐步恢复河道生态功能。 </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第二十八条  </w:t>
      </w:r>
      <w:r>
        <w:rPr>
          <w:rFonts w:hint="eastAsia" w:ascii="仿宋" w:hAnsi="仿宋" w:eastAsia="仿宋" w:cs="仿宋"/>
          <w:color w:val="auto"/>
          <w:sz w:val="32"/>
          <w:szCs w:val="32"/>
          <w:lang w:val="en-US" w:eastAsia="zh-CN"/>
        </w:rPr>
        <w:t>各级人民政府应当建立健全河道保洁责任制，建立河道保洁常态化巡查制度，完善沿河区域生活垃圾和污水收集、转运、处理设施建设，鼓励通过政府购买服务的方式进行河道保洁，及时清除河道内的建筑垃圾、生活垃圾、矿渣等固体废弃物以及有害水生动植物。</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村（居）民委员会应当协助乡镇人民政府开展河道清洁等活动，推动将维护河道清洁纳入村规民约，及时发现、劝阻和报告向河道倾倒垃圾等损害河道水生态环境的行为。</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第二十九条</w:t>
      </w:r>
      <w:r>
        <w:rPr>
          <w:rFonts w:hint="eastAsia" w:ascii="仿宋" w:hAnsi="仿宋" w:eastAsia="仿宋" w:cs="仿宋"/>
          <w:color w:val="auto"/>
          <w:sz w:val="32"/>
          <w:szCs w:val="32"/>
          <w:lang w:val="en-US" w:eastAsia="zh-CN"/>
        </w:rPr>
        <w:t xml:space="preserve">  河道采砂应当坚持生态优先、科学规划、总量控制、有序开采、属地管理、严格监管的原则，符合防洪、通航、涉河工程和水生态安全要求。</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市、县（市、区）人民政府可以根据河道生态环境保护需要，决定对本行政区域内的河道砂石资源实行统一经营管理，具体措施由市、县（市、区）人民政府制定。</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第三十条</w:t>
      </w:r>
      <w:r>
        <w:rPr>
          <w:rFonts w:hint="eastAsia" w:ascii="仿宋" w:hAnsi="仿宋" w:eastAsia="仿宋" w:cs="仿宋"/>
          <w:color w:val="auto"/>
          <w:sz w:val="32"/>
          <w:szCs w:val="32"/>
          <w:lang w:val="en-US" w:eastAsia="zh-CN"/>
        </w:rPr>
        <w:t xml:space="preserve">  县级以上人民政府应当严格落实河道采砂许可制度。采砂许可应当载明开采的地点、期限、范围、深度、开采总量、作业方式、生态修复等事项。未经许可，任何单位和个人不得从事河道采砂活动。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县级以上人民政府应当积极探索河道采砂与生态修复相结合管理机制，支持有河道整治技术和能力的采砂经营者按照河道采砂和生态修复责任相统一的要求，实行规模化、生态型、标准化开采。 </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 w:hAnsi="仿宋" w:eastAsia="仿宋" w:cs="仿宋"/>
          <w:color w:val="auto"/>
          <w:sz w:val="32"/>
          <w:szCs w:val="32"/>
          <w:lang w:val="en-US" w:eastAsia="zh-CN"/>
        </w:rPr>
        <w:t>   </w:t>
      </w:r>
      <w:bookmarkStart w:id="3" w:name="16"/>
      <w:r>
        <w:rPr>
          <w:rFonts w:hint="eastAsia" w:ascii="仿宋" w:hAnsi="仿宋" w:eastAsia="仿宋" w:cs="仿宋"/>
          <w:strike w:val="0"/>
          <w:dstrike w:val="0"/>
          <w:color w:val="auto"/>
          <w:sz w:val="32"/>
          <w:szCs w:val="32"/>
          <w:u w:val="none"/>
          <w:lang w:val="en-US" w:eastAsia="zh-CN"/>
        </w:rPr>
        <w:t>县级以上人民政府农业农村、生态环境、林业等有关部门应当指导农林生产者科学使用化肥、农药、地膜等投入品，控制面源污染。推广水产品生态种植、养殖技术，依法取缔网箱养殖，防止种植、养殖污染河湖水体。</w:t>
      </w:r>
      <w:r>
        <w:rPr>
          <w:rFonts w:hint="eastAsia" w:ascii="仿宋" w:hAnsi="仿宋" w:eastAsia="仿宋" w:cs="仿宋"/>
          <w:color w:val="auto"/>
          <w:sz w:val="32"/>
          <w:szCs w:val="32"/>
          <w:lang w:val="en-US" w:eastAsia="zh-CN"/>
        </w:rPr>
        <w:t>　</w:t>
      </w:r>
      <w:bookmarkEnd w:id="3"/>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第三十二条  </w:t>
      </w:r>
      <w:r>
        <w:rPr>
          <w:rFonts w:hint="eastAsia" w:ascii="仿宋" w:hAnsi="仿宋" w:eastAsia="仿宋" w:cs="仿宋"/>
          <w:color w:val="auto"/>
          <w:sz w:val="32"/>
          <w:szCs w:val="32"/>
          <w:lang w:val="en-US" w:eastAsia="zh-CN"/>
        </w:rPr>
        <w:t>县级以上人民政府应当建立健全水利、公安、自然资源、生态环境、交通运输等部门联合执法机制，整合相关执法力量，加强基层执法能力建设，建立部门会商、信息共享、案件移交等制度，定期开展河道保护和治理联合执法行动，推进河道生态环境保护综合行政执法，对违法现象严重的区域开展专项执法和集中整治，建立健全违法案件查处督办制度和行政执法与刑事司法衔接工作机制。</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第三十三条</w:t>
      </w:r>
      <w:r>
        <w:rPr>
          <w:rFonts w:hint="eastAsia" w:ascii="仿宋" w:hAnsi="仿宋" w:eastAsia="仿宋" w:cs="仿宋"/>
          <w:color w:val="auto"/>
          <w:sz w:val="32"/>
          <w:szCs w:val="32"/>
          <w:lang w:val="en-US" w:eastAsia="zh-CN"/>
        </w:rPr>
        <w:t>   在河道管理范围内建设跨河、穿河、穿堤、临河的桥梁、码头、道路、渡口、管道、缆线、取水、排水、公共休闲、景观等工程设施，应当符合防洪标准以及有关技术要求，不得影响河势稳定、危害堤防安全。其工程建设方案应当按照河道管理权限，报县级以上人民政府水行政主管部门审查同意；未经审查同意，不得开工建设。</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第三十四条  </w:t>
      </w:r>
      <w:r>
        <w:rPr>
          <w:rFonts w:hint="eastAsia" w:ascii="仿宋" w:hAnsi="仿宋" w:eastAsia="仿宋" w:cs="仿宋"/>
          <w:color w:val="auto"/>
          <w:sz w:val="32"/>
          <w:szCs w:val="32"/>
          <w:lang w:val="en-US" w:eastAsia="zh-CN"/>
        </w:rPr>
        <w:t>因工程建设项目施工，占压、损坏、拆除原有水工程设施或者造成河道淤积的，建设单位应当在限期内恢复原状；无法恢复原状的，应当采取相应工程措施消除影响或者依法予以赔偿。</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施工围堰或者临时设置阻水设施的，应当及时清理现场并恢复河道原状。</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前两款规定的设施影响汛期防洪安全的，应当在防汛指挥机构规定的期限内清除；逾期不清除的，由防汛指挥机构组织强行清除，清障费用由设障者承担。</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第三十五条</w:t>
      </w:r>
      <w:r>
        <w:rPr>
          <w:rFonts w:hint="eastAsia" w:ascii="仿宋" w:hAnsi="仿宋" w:eastAsia="仿宋" w:cs="仿宋"/>
          <w:color w:val="auto"/>
          <w:sz w:val="32"/>
          <w:szCs w:val="32"/>
          <w:lang w:val="en-US" w:eastAsia="zh-CN"/>
        </w:rPr>
        <w:t>  建设单位应当按照批准的工程建设方案确定的位置和界限进行施工，并接受项目所在地水行政主管部门的监督检查。</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工程建设项目竣工验收时，应当有项目所在地水行政主管部门参加。</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第三十六条</w:t>
      </w:r>
      <w:r>
        <w:rPr>
          <w:rFonts w:hint="eastAsia" w:ascii="仿宋" w:hAnsi="仿宋" w:eastAsia="仿宋" w:cs="仿宋"/>
          <w:color w:val="auto"/>
          <w:sz w:val="32"/>
          <w:szCs w:val="32"/>
          <w:u w:val="none"/>
          <w:lang w:val="en-US" w:eastAsia="zh-CN"/>
        </w:rPr>
        <w:t>   穿、跨、临河道以及穿堤的桥梁、码头、道路、渡口、管道、缆线、取水、排水等工程设施的建设单位、产权单位或者使用单位，应当对工程设施进行日常检查和维护，发现危害堤坝安全、影响河势稳定、妨碍行洪畅通等情况的，应当及时进行整改、消除隐患。</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第三十七条</w:t>
      </w:r>
      <w:r>
        <w:rPr>
          <w:rFonts w:hint="eastAsia" w:ascii="仿宋" w:hAnsi="仿宋" w:eastAsia="仿宋" w:cs="仿宋"/>
          <w:color w:val="auto"/>
          <w:sz w:val="32"/>
          <w:szCs w:val="32"/>
          <w:lang w:val="en-US" w:eastAsia="zh-CN"/>
        </w:rPr>
        <w:t>  在河道管理范围内，禁止下列行为和活动：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（一）修建围堤、阻水渠道、阻水道路，建设妨碍行洪的建筑物、构筑物等，弃置、堆放阻碍行洪的物体和种植阻碍行洪的林木及高秆作物等；</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（二）设置拦河渔具、网箱、地笼网、网围养殖等捕鱼工具，占用水库库容、库区违法造地、覆盖河道、行洪沟渠等；</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（三）倾倒、堆放、存贮，矿渣、石渣、煤灰、渣土、垃圾、秸秆等固体废弃物；</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（四）堆放、倾倒、掩埋、排放工业废渣和有毒有害废液等污染水体的物体；</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（五）清洗装贮过油类或者有毒污染物的车辆和容器；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（六）其他妨碍河道运行、危害防洪安全、影响河势稳定和破坏河道水环境的行为和活动。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第三十八条</w:t>
      </w:r>
      <w:r>
        <w:rPr>
          <w:rFonts w:hint="eastAsia" w:ascii="仿宋" w:hAnsi="仿宋" w:eastAsia="仿宋" w:cs="仿宋"/>
          <w:color w:val="auto"/>
          <w:sz w:val="32"/>
          <w:szCs w:val="32"/>
          <w:lang w:val="en-US" w:eastAsia="zh-CN"/>
        </w:rPr>
        <w:t xml:space="preserve">  在堤防和护堤地内禁止进行下列活动：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（一）在堤身种植农作物、铲草、放牧、晒粮、堆放物料等；</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（二）建房、开渠、打井、挖窖、葬坟、建窑；</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（三）开采地下资源、进行考古发掘以及开展集市贸易活动；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（四）进行爆破、打井、采石、取土、挖筑坑塘等危害工程安全的活动。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第三十九条  </w:t>
      </w:r>
      <w:r>
        <w:rPr>
          <w:rFonts w:hint="eastAsia" w:ascii="仿宋" w:hAnsi="仿宋" w:eastAsia="仿宋" w:cs="仿宋"/>
          <w:color w:val="auto"/>
          <w:sz w:val="32"/>
          <w:szCs w:val="32"/>
          <w:lang w:val="en-US" w:eastAsia="zh-CN"/>
        </w:rPr>
        <w:t>在河道管理范围内未经批准，不得进行下列行为：</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（一）采砂、取土、淘金；</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（二）爆破、钻探、打井；</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（三）在河道滩地开采地下资源、进行考古发掘；</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（四）新建、改建和扩建排污口；利用河道、水库从事养殖、旅游、餐饮等活动；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（五）占用护堤绿地、采伐护堤护岸林木；</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（六）法律、法规规定的其他行为。</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第四十条  </w:t>
      </w:r>
      <w:r>
        <w:rPr>
          <w:rFonts w:hint="eastAsia" w:ascii="仿宋" w:hAnsi="仿宋" w:eastAsia="仿宋" w:cs="仿宋"/>
          <w:color w:val="auto"/>
          <w:sz w:val="32"/>
          <w:szCs w:val="32"/>
          <w:lang w:val="en-US" w:eastAsia="zh-CN"/>
        </w:rPr>
        <w:t>禁止损毁堤防、护岸、闸坝等水工程建筑物和防汛、水文监测测量、河岸地质监测、通信照明、输电线路、监控等设施。</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第四十一条  </w:t>
      </w:r>
      <w:r>
        <w:rPr>
          <w:rFonts w:hint="eastAsia" w:ascii="仿宋" w:hAnsi="仿宋" w:eastAsia="仿宋" w:cs="仿宋"/>
          <w:color w:val="auto"/>
          <w:sz w:val="32"/>
          <w:szCs w:val="32"/>
          <w:lang w:val="en-US" w:eastAsia="zh-CN"/>
        </w:rPr>
        <w:t>禁止围垦河道。确需围垦的，应当经过科学论证，经省水行政主管部门确认不妨碍行洪、输水后，报省人民政府批准。</w:t>
      </w:r>
    </w:p>
    <w:p>
      <w:pPr>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第五章</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法律责任</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第四十二条 </w:t>
      </w:r>
      <w:r>
        <w:rPr>
          <w:rFonts w:hint="eastAsia" w:ascii="仿宋" w:hAnsi="仿宋" w:eastAsia="仿宋" w:cs="仿宋"/>
          <w:color w:val="auto"/>
          <w:sz w:val="32"/>
          <w:szCs w:val="32"/>
          <w:lang w:val="en-US" w:eastAsia="zh-CN"/>
        </w:rPr>
        <w:t xml:space="preserve"> 违反本条例规定的行为，法律、法规已有法律责任规定的，从其规定。 </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本条例规定的行政处罚由水行政主管部门依法实施，法律、法规另有规定的除外。</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第四十三条</w:t>
      </w:r>
      <w:r>
        <w:rPr>
          <w:rFonts w:hint="eastAsia" w:ascii="仿宋" w:hAnsi="仿宋" w:eastAsia="仿宋" w:cs="仿宋"/>
          <w:color w:val="auto"/>
          <w:sz w:val="32"/>
          <w:szCs w:val="32"/>
          <w:lang w:val="en-US" w:eastAsia="zh-CN"/>
        </w:rPr>
        <w:t xml:space="preserve">  违反本条例第三十八条第二项规定，在河道管理范围内设置网箱、地笼网、网围养殖等捕鱼工具的，由县级以上人民政府水行政主管部门责令停止违法行为，排除阻碍或者采取其他补救措施，可以处五万元以下的罚款。</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第四十四条</w:t>
      </w:r>
      <w:r>
        <w:rPr>
          <w:rFonts w:hint="eastAsia" w:ascii="仿宋" w:hAnsi="仿宋" w:eastAsia="仿宋" w:cs="仿宋"/>
          <w:color w:val="auto"/>
          <w:sz w:val="32"/>
          <w:szCs w:val="32"/>
          <w:lang w:val="en-US" w:eastAsia="zh-CN"/>
        </w:rPr>
        <w:t xml:space="preserve"> 违反本条例规定，未办理河道采砂许可证，擅自采砂的，由县级以上地方人民政府水行政主管部门或者流域管理机构责令停止违法行为，没收违法所得和非法财物，并处5万元以上10万元以下的罚款；情节严重的，扣押或没收非法采砂机具，可以并处30万元以下的罚款，并对没收的非法采砂机具予以拍卖，拍卖款项全部上缴财政。</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违反本条例规定，在禁采区、禁采期内采砂的，由县级以上人民政府水行政主管部门或者流域管理机构责令停止违法行为，没收违法所得和非法财物，查封、扣押采砂机具（挖掘机械），没收采砂机具，并处5万元以上10万元以下罚款。</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运砂船、运砂车、装载机械等在河道采砂地点装运或协助非法采砂的，属于共同实施非法采砂行为，按照前款规定处理。</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因非法采砂造成河道生态损害或者形成安全隐患的，除依法给予行政处罚外，还应责令当事人采取补救措施予以恢复；当事人拒不恢复的，可以由处罚机关代为恢复，所需费用由当事人承担。</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第四十五条</w:t>
      </w:r>
      <w:r>
        <w:rPr>
          <w:rFonts w:hint="eastAsia" w:ascii="仿宋" w:hAnsi="仿宋" w:eastAsia="仿宋" w:cs="仿宋"/>
          <w:color w:val="auto"/>
          <w:sz w:val="32"/>
          <w:szCs w:val="32"/>
          <w:lang w:val="en-US" w:eastAsia="zh-CN"/>
        </w:rPr>
        <w:t xml:space="preserve"> 违反本条例第二十条规定，擅自移动、损毁河道管理范围界桩、标示牌、公示牌的，由县级以上人民政府水行政主管部门责令改正，可以处一万元以下罚款。</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第四十六条</w:t>
      </w:r>
      <w:r>
        <w:rPr>
          <w:rFonts w:hint="eastAsia" w:ascii="仿宋" w:hAnsi="仿宋" w:eastAsia="仿宋" w:cs="仿宋"/>
          <w:color w:val="auto"/>
          <w:sz w:val="32"/>
          <w:szCs w:val="32"/>
          <w:lang w:val="en-US" w:eastAsia="zh-CN"/>
        </w:rPr>
        <w:t xml:space="preserve"> 阻碍、威胁水行政主管部门或者河道管理机构工作人员依法执行职务，构成犯罪的，依法追究刑事责任；尚不构成犯罪，应当给予治安管理处罚的，依照《中华人民共和国治安管理处罚法》的规定处罚。</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第四十七条</w:t>
      </w:r>
      <w:r>
        <w:rPr>
          <w:rFonts w:hint="eastAsia" w:ascii="仿宋" w:hAnsi="仿宋" w:eastAsia="仿宋" w:cs="仿宋"/>
          <w:color w:val="auto"/>
          <w:sz w:val="32"/>
          <w:szCs w:val="32"/>
          <w:lang w:val="en-US" w:eastAsia="zh-CN"/>
        </w:rPr>
        <w:t>  对于侵占、破坏河道的行为，或者负有监督管理职责的部门违法行使职权或者不作为，致使河道生态环境恶劣，公共利益遭到损害的，法律规定的机关和有关组织可以依法提起公益诉讼。</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第四十八条</w:t>
      </w:r>
      <w:r>
        <w:rPr>
          <w:rFonts w:hint="eastAsia" w:ascii="仿宋" w:hAnsi="仿宋" w:eastAsia="仿宋" w:cs="仿宋"/>
          <w:color w:val="auto"/>
          <w:sz w:val="32"/>
          <w:szCs w:val="32"/>
          <w:lang w:val="en-US" w:eastAsia="zh-CN"/>
        </w:rPr>
        <w:t>  水行政主管部门、生态环境主管部门、综合行政执法部门、实施行政许可的部门和其他有关部门及其工作人员滥用职权、玩忽职守、徇私舞弊的，依法给予处分；构成犯罪的，依法追究刑事责任。</w:t>
      </w:r>
    </w:p>
    <w:p>
      <w:pPr>
        <w:keepNext w:val="0"/>
        <w:keepLines w:val="0"/>
        <w:pageBreakBefore w:val="0"/>
        <w:widowControl w:val="0"/>
        <w:numPr>
          <w:ilvl w:val="0"/>
          <w:numId w:val="0"/>
        </w:numPr>
        <w:kinsoku/>
        <w:wordWrap/>
        <w:overflowPunct/>
        <w:topLinePunct w:val="0"/>
        <w:bidi w:val="0"/>
        <w:snapToGrid/>
        <w:spacing w:line="560" w:lineRule="exact"/>
        <w:ind w:leftChars="0"/>
        <w:jc w:val="center"/>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第六章</w:t>
      </w:r>
      <w:r>
        <w:rPr>
          <w:rFonts w:hint="eastAsia" w:ascii="黑体" w:hAnsi="黑体" w:eastAsia="黑体" w:cs="黑体"/>
          <w:color w:val="auto"/>
          <w:sz w:val="32"/>
          <w:szCs w:val="32"/>
        </w:rPr>
        <w:t xml:space="preserve"> 附  则</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第四十九条</w:t>
      </w:r>
      <w:r>
        <w:rPr>
          <w:rFonts w:hint="eastAsia" w:ascii="仿宋" w:hAnsi="仿宋" w:eastAsia="仿宋" w:cs="仿宋"/>
          <w:color w:val="auto"/>
          <w:sz w:val="32"/>
          <w:szCs w:val="32"/>
          <w:lang w:val="en-US" w:eastAsia="zh-CN"/>
        </w:rPr>
        <w:t xml:space="preserve">  平顶山城乡一体化示范区管委会、平顶山高新技术产业开发区管委会根据市人民政府的授权，依照本条例做好河道管理保护工作。</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第五十条</w:t>
      </w:r>
      <w:r>
        <w:rPr>
          <w:rFonts w:hint="eastAsia" w:ascii="仿宋" w:hAnsi="仿宋" w:eastAsia="仿宋" w:cs="仿宋"/>
          <w:color w:val="auto"/>
          <w:sz w:val="32"/>
          <w:szCs w:val="32"/>
          <w:lang w:val="en-US" w:eastAsia="zh-CN"/>
        </w:rPr>
        <w:t xml:space="preserve">  本条例自X年X月X日起施行。</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 w:hAnsi="仿宋" w:eastAsia="仿宋" w:cs="仿宋"/>
          <w:color w:val="auto"/>
          <w:sz w:val="32"/>
          <w:szCs w:val="32"/>
          <w:lang w:val="en-US" w:eastAsia="zh-CN"/>
        </w:rPr>
      </w:pP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36DA2"/>
    <w:rsid w:val="00806177"/>
    <w:rsid w:val="008D2AD6"/>
    <w:rsid w:val="00D14990"/>
    <w:rsid w:val="02755C17"/>
    <w:rsid w:val="03F43A7D"/>
    <w:rsid w:val="04291E63"/>
    <w:rsid w:val="048C6137"/>
    <w:rsid w:val="05294141"/>
    <w:rsid w:val="056B51A8"/>
    <w:rsid w:val="0579583B"/>
    <w:rsid w:val="05B04AB3"/>
    <w:rsid w:val="05C442AE"/>
    <w:rsid w:val="060D78C2"/>
    <w:rsid w:val="06170464"/>
    <w:rsid w:val="069430EA"/>
    <w:rsid w:val="06EB7924"/>
    <w:rsid w:val="086D1372"/>
    <w:rsid w:val="08724D4F"/>
    <w:rsid w:val="08BF219D"/>
    <w:rsid w:val="09055DBE"/>
    <w:rsid w:val="092C0C6B"/>
    <w:rsid w:val="09847D55"/>
    <w:rsid w:val="0AB344C6"/>
    <w:rsid w:val="0AC82CAC"/>
    <w:rsid w:val="0AFB4D3D"/>
    <w:rsid w:val="0BCC0589"/>
    <w:rsid w:val="0CDA50C0"/>
    <w:rsid w:val="0D302FB1"/>
    <w:rsid w:val="0FA00214"/>
    <w:rsid w:val="100748EA"/>
    <w:rsid w:val="103457C1"/>
    <w:rsid w:val="104E6322"/>
    <w:rsid w:val="10976FB7"/>
    <w:rsid w:val="109B6480"/>
    <w:rsid w:val="113962B8"/>
    <w:rsid w:val="120D0BDA"/>
    <w:rsid w:val="126323CE"/>
    <w:rsid w:val="126A0C69"/>
    <w:rsid w:val="126B5EF1"/>
    <w:rsid w:val="12F23416"/>
    <w:rsid w:val="13622CC7"/>
    <w:rsid w:val="1374454C"/>
    <w:rsid w:val="14072A8C"/>
    <w:rsid w:val="15765364"/>
    <w:rsid w:val="15D3603B"/>
    <w:rsid w:val="15DA5B76"/>
    <w:rsid w:val="162846D7"/>
    <w:rsid w:val="164677F7"/>
    <w:rsid w:val="16741EF9"/>
    <w:rsid w:val="16E263CB"/>
    <w:rsid w:val="17394258"/>
    <w:rsid w:val="179D152E"/>
    <w:rsid w:val="182D5ABB"/>
    <w:rsid w:val="18D3248C"/>
    <w:rsid w:val="19B43E9C"/>
    <w:rsid w:val="1A6261B3"/>
    <w:rsid w:val="1AA533C6"/>
    <w:rsid w:val="1B40440A"/>
    <w:rsid w:val="1B497976"/>
    <w:rsid w:val="1BAD1996"/>
    <w:rsid w:val="1C1E1A1A"/>
    <w:rsid w:val="1C5250A8"/>
    <w:rsid w:val="1C58280C"/>
    <w:rsid w:val="1C587CEA"/>
    <w:rsid w:val="1CB8177B"/>
    <w:rsid w:val="1D0E3B48"/>
    <w:rsid w:val="1DDB4AE3"/>
    <w:rsid w:val="1DEA4AA5"/>
    <w:rsid w:val="1E0B61A2"/>
    <w:rsid w:val="1F064766"/>
    <w:rsid w:val="1F0A7144"/>
    <w:rsid w:val="1F4D1293"/>
    <w:rsid w:val="1F88511D"/>
    <w:rsid w:val="1FBF0D1F"/>
    <w:rsid w:val="1FC413EF"/>
    <w:rsid w:val="205F3A67"/>
    <w:rsid w:val="20BE7212"/>
    <w:rsid w:val="22D30CD5"/>
    <w:rsid w:val="2316675C"/>
    <w:rsid w:val="233314B2"/>
    <w:rsid w:val="236411E3"/>
    <w:rsid w:val="23D003E4"/>
    <w:rsid w:val="240202F3"/>
    <w:rsid w:val="240A4385"/>
    <w:rsid w:val="2411458C"/>
    <w:rsid w:val="244E4F9C"/>
    <w:rsid w:val="249902B8"/>
    <w:rsid w:val="24B45B28"/>
    <w:rsid w:val="254724EB"/>
    <w:rsid w:val="25ED5186"/>
    <w:rsid w:val="26715432"/>
    <w:rsid w:val="26CB3F9F"/>
    <w:rsid w:val="272C743D"/>
    <w:rsid w:val="273126FA"/>
    <w:rsid w:val="278D4E63"/>
    <w:rsid w:val="27E62373"/>
    <w:rsid w:val="286A618C"/>
    <w:rsid w:val="28FF2C05"/>
    <w:rsid w:val="297C09CE"/>
    <w:rsid w:val="29CF4EF7"/>
    <w:rsid w:val="2A6A63D3"/>
    <w:rsid w:val="2AD81D6A"/>
    <w:rsid w:val="2B0B4933"/>
    <w:rsid w:val="2B685500"/>
    <w:rsid w:val="2C4F5B8D"/>
    <w:rsid w:val="2C544C43"/>
    <w:rsid w:val="2CA722E6"/>
    <w:rsid w:val="2EA00CBF"/>
    <w:rsid w:val="2EC166AE"/>
    <w:rsid w:val="2ED50B35"/>
    <w:rsid w:val="2F0908C0"/>
    <w:rsid w:val="30126898"/>
    <w:rsid w:val="314F62CC"/>
    <w:rsid w:val="334A6457"/>
    <w:rsid w:val="334F0582"/>
    <w:rsid w:val="336E410D"/>
    <w:rsid w:val="338E085B"/>
    <w:rsid w:val="33E57727"/>
    <w:rsid w:val="34913EB3"/>
    <w:rsid w:val="34C87F87"/>
    <w:rsid w:val="35014D59"/>
    <w:rsid w:val="35060D28"/>
    <w:rsid w:val="36A86606"/>
    <w:rsid w:val="37F9015F"/>
    <w:rsid w:val="388203CA"/>
    <w:rsid w:val="3911056A"/>
    <w:rsid w:val="39CB4C1E"/>
    <w:rsid w:val="3A4C64ED"/>
    <w:rsid w:val="3A5C1EC2"/>
    <w:rsid w:val="3AE6388D"/>
    <w:rsid w:val="3AEC1EA4"/>
    <w:rsid w:val="3B9A7F47"/>
    <w:rsid w:val="3C1D223D"/>
    <w:rsid w:val="3CAB4D70"/>
    <w:rsid w:val="3D0C2AD0"/>
    <w:rsid w:val="3D4D757D"/>
    <w:rsid w:val="3F9C1E70"/>
    <w:rsid w:val="3FA81B69"/>
    <w:rsid w:val="3FDA3BFE"/>
    <w:rsid w:val="4053041F"/>
    <w:rsid w:val="409A0980"/>
    <w:rsid w:val="40B52866"/>
    <w:rsid w:val="40CB5FEF"/>
    <w:rsid w:val="40EA0C66"/>
    <w:rsid w:val="416A0E86"/>
    <w:rsid w:val="416D0365"/>
    <w:rsid w:val="41813E06"/>
    <w:rsid w:val="4191430B"/>
    <w:rsid w:val="419A4B12"/>
    <w:rsid w:val="42594455"/>
    <w:rsid w:val="427B42DC"/>
    <w:rsid w:val="427E1705"/>
    <w:rsid w:val="42AB229A"/>
    <w:rsid w:val="44451FB9"/>
    <w:rsid w:val="4464262E"/>
    <w:rsid w:val="446C755D"/>
    <w:rsid w:val="448710B9"/>
    <w:rsid w:val="44A11229"/>
    <w:rsid w:val="44DC0600"/>
    <w:rsid w:val="45B938B9"/>
    <w:rsid w:val="470E232E"/>
    <w:rsid w:val="47912EEA"/>
    <w:rsid w:val="47D06E91"/>
    <w:rsid w:val="48EA59AC"/>
    <w:rsid w:val="495F16FD"/>
    <w:rsid w:val="49953909"/>
    <w:rsid w:val="4C0F21AF"/>
    <w:rsid w:val="4C42767D"/>
    <w:rsid w:val="4C80436D"/>
    <w:rsid w:val="4CAE6515"/>
    <w:rsid w:val="4CCB304C"/>
    <w:rsid w:val="4D0D1A42"/>
    <w:rsid w:val="4D7E6072"/>
    <w:rsid w:val="4DE93676"/>
    <w:rsid w:val="4E3641ED"/>
    <w:rsid w:val="4FDA6726"/>
    <w:rsid w:val="503A3854"/>
    <w:rsid w:val="509B1857"/>
    <w:rsid w:val="509E1073"/>
    <w:rsid w:val="50ED4560"/>
    <w:rsid w:val="50FD143F"/>
    <w:rsid w:val="512D7D12"/>
    <w:rsid w:val="524A174C"/>
    <w:rsid w:val="528C6036"/>
    <w:rsid w:val="529C47C2"/>
    <w:rsid w:val="52F75C80"/>
    <w:rsid w:val="53977EBB"/>
    <w:rsid w:val="54493251"/>
    <w:rsid w:val="54B01702"/>
    <w:rsid w:val="55082A0C"/>
    <w:rsid w:val="553574D8"/>
    <w:rsid w:val="56217932"/>
    <w:rsid w:val="562E5514"/>
    <w:rsid w:val="56DE7F76"/>
    <w:rsid w:val="56E27707"/>
    <w:rsid w:val="57356C41"/>
    <w:rsid w:val="5760785E"/>
    <w:rsid w:val="578B3C49"/>
    <w:rsid w:val="57AF64AA"/>
    <w:rsid w:val="581A7DD1"/>
    <w:rsid w:val="581B45FA"/>
    <w:rsid w:val="584914F8"/>
    <w:rsid w:val="587638AC"/>
    <w:rsid w:val="598C115D"/>
    <w:rsid w:val="59FA2F70"/>
    <w:rsid w:val="5A024269"/>
    <w:rsid w:val="5A73791D"/>
    <w:rsid w:val="5B841EB1"/>
    <w:rsid w:val="5BD84871"/>
    <w:rsid w:val="5BDE2B49"/>
    <w:rsid w:val="5C7F1587"/>
    <w:rsid w:val="5CC00ECD"/>
    <w:rsid w:val="5D1C49B5"/>
    <w:rsid w:val="5D3E12A6"/>
    <w:rsid w:val="5F015075"/>
    <w:rsid w:val="60827A12"/>
    <w:rsid w:val="60F010AB"/>
    <w:rsid w:val="61467F2C"/>
    <w:rsid w:val="63112847"/>
    <w:rsid w:val="63401775"/>
    <w:rsid w:val="6419612E"/>
    <w:rsid w:val="64706DC3"/>
    <w:rsid w:val="64C72A62"/>
    <w:rsid w:val="65D35D4C"/>
    <w:rsid w:val="66220D1B"/>
    <w:rsid w:val="66F14C19"/>
    <w:rsid w:val="66F8703D"/>
    <w:rsid w:val="67084FB6"/>
    <w:rsid w:val="6796247F"/>
    <w:rsid w:val="68085357"/>
    <w:rsid w:val="68917D06"/>
    <w:rsid w:val="68AB446A"/>
    <w:rsid w:val="68B01F9C"/>
    <w:rsid w:val="69845F98"/>
    <w:rsid w:val="6A5D7BB4"/>
    <w:rsid w:val="6AC81879"/>
    <w:rsid w:val="6C221364"/>
    <w:rsid w:val="6C2F576D"/>
    <w:rsid w:val="6C8639AA"/>
    <w:rsid w:val="6CA37556"/>
    <w:rsid w:val="6CBB3CCC"/>
    <w:rsid w:val="6CCD45DA"/>
    <w:rsid w:val="6D183581"/>
    <w:rsid w:val="6DCF1072"/>
    <w:rsid w:val="6DF4133A"/>
    <w:rsid w:val="6ECD207E"/>
    <w:rsid w:val="70632B7F"/>
    <w:rsid w:val="706D6A4D"/>
    <w:rsid w:val="71A56483"/>
    <w:rsid w:val="71EA75D2"/>
    <w:rsid w:val="72097E56"/>
    <w:rsid w:val="72573B76"/>
    <w:rsid w:val="72A90F71"/>
    <w:rsid w:val="73275D86"/>
    <w:rsid w:val="73A23520"/>
    <w:rsid w:val="73C4622D"/>
    <w:rsid w:val="74103A15"/>
    <w:rsid w:val="74615EA0"/>
    <w:rsid w:val="74F605F2"/>
    <w:rsid w:val="75B03685"/>
    <w:rsid w:val="75E85424"/>
    <w:rsid w:val="76166C0D"/>
    <w:rsid w:val="76FF2F7F"/>
    <w:rsid w:val="787D7E86"/>
    <w:rsid w:val="79672F11"/>
    <w:rsid w:val="79BA56D5"/>
    <w:rsid w:val="79DC3E6F"/>
    <w:rsid w:val="79E6609F"/>
    <w:rsid w:val="7A8A0567"/>
    <w:rsid w:val="7ADF04BE"/>
    <w:rsid w:val="7B8668F3"/>
    <w:rsid w:val="7BA37BDD"/>
    <w:rsid w:val="7C5F10FD"/>
    <w:rsid w:val="7CAC0BD0"/>
    <w:rsid w:val="7CDB64D0"/>
    <w:rsid w:val="7D210E73"/>
    <w:rsid w:val="7E026649"/>
    <w:rsid w:val="7E896517"/>
    <w:rsid w:val="7E8C574F"/>
    <w:rsid w:val="7E947DE2"/>
    <w:rsid w:val="7E9B3F5A"/>
    <w:rsid w:val="7EAE40C5"/>
    <w:rsid w:val="7F1139B3"/>
    <w:rsid w:val="7F79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Page Number1"/>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161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朱艳艳</dc:creator>
  <cp:lastModifiedBy>水光</cp:lastModifiedBy>
  <cp:lastPrinted>2020-06-16T02:02:00Z</cp:lastPrinted>
  <dcterms:modified xsi:type="dcterms:W3CDTF">2020-06-29T02:55:43Z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