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ind w:firstLine="880" w:firstLineChars="200"/>
        <w:jc w:val="center"/>
        <w:textAlignment w:val="auto"/>
        <w:rPr>
          <w:rFonts w:hint="eastAsia" w:ascii="仿宋_GB2312" w:hAnsi="仿宋_GB2312" w:eastAsia="仿宋_GB2312" w:cs="仿宋_GB2312"/>
          <w:kern w:val="0"/>
          <w:sz w:val="32"/>
          <w:szCs w:val="32"/>
          <w:lang w:val="en-US" w:eastAsia="zh-CN"/>
        </w:rPr>
      </w:pPr>
      <w:r>
        <w:rPr>
          <w:rFonts w:hint="eastAsia" w:ascii="方正小标宋简体" w:hAnsi="方正小标宋简体" w:eastAsia="方正小标宋简体" w:cs="方正小标宋简体"/>
          <w:color w:val="000000"/>
          <w:kern w:val="0"/>
          <w:sz w:val="44"/>
          <w:szCs w:val="44"/>
          <w:lang w:val="en-US" w:eastAsia="zh-CN" w:bidi="ar"/>
        </w:rPr>
        <w:t>湛河区百日千万专项行动活动总结</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为积极响应国家稳就业、保民生的号召，切实解决企业用工难题，促进各类群体充分就业，根据市人社局发布的《平顶山市人力资源和社会保障局关于开展第六届“百日千方招聘专项行动”的通知》（平人社〔2025〕34号）文件要求，湛河区人社局于6-9月份精心组织开展了以“职引未来 筑梦青春”为主题的大型系列公益招聘专项行动。此次行动聚焦重点群体，创新服务模式，通过一系列富有成效的活动，取得了显著的工作成果。现将行动开展情况总结如下：</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after="157" w:afterLines="50" w:line="240" w:lineRule="auto"/>
        <w:ind w:firstLine="640" w:firstLineChars="200"/>
        <w:jc w:val="both"/>
        <w:textAlignment w:val="auto"/>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活动开展基本情况</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本次“百日千万招聘专项行动”，旨在搭建企业与求职者之间的精准对接平台，为高校毕业生、农民工、退役军人等重点群体提供更多就业机会。行动期间，湛河区人社局共组织参加各类招聘活动4场，零工夜市招聘会线上1场、线下3场，共计发布岗位1797个；开展GYB创业意识培训两场；为848名高校毕业生提供“1131”就业服务，吸引了众多企业和求职者参与，有效促进了就业市场的供需匹配。</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after="157" w:afterLines="50" w:line="240" w:lineRule="auto"/>
        <w:ind w:left="0" w:leftChars="0" w:firstLine="640" w:firstLineChars="200"/>
        <w:jc w:val="both"/>
        <w:textAlignment w:val="auto"/>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主要措施和做法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240" w:lineRule="auto"/>
        <w:ind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kern w:val="0"/>
          <w:sz w:val="32"/>
          <w:szCs w:val="32"/>
          <w:highlight w:val="none"/>
          <w:lang w:val="en-US" w:eastAsia="zh-CN"/>
        </w:rPr>
        <w:t>（一）高度重视，认真安排部署。</w:t>
      </w:r>
      <w:r>
        <w:rPr>
          <w:rFonts w:hint="eastAsia" w:ascii="仿宋_GB2312" w:hAnsi="仿宋_GB2312" w:eastAsia="仿宋_GB2312" w:cs="仿宋_GB2312"/>
          <w:kern w:val="0"/>
          <w:sz w:val="32"/>
          <w:szCs w:val="32"/>
          <w:highlight w:val="none"/>
          <w:lang w:val="en-US" w:eastAsia="zh-CN"/>
        </w:rPr>
        <w:t>湛河区人社局</w:t>
      </w:r>
      <w:r>
        <w:rPr>
          <w:rFonts w:hint="eastAsia" w:ascii="仿宋_GB2312" w:hAnsi="仿宋_GB2312" w:eastAsia="仿宋_GB2312" w:cs="仿宋_GB2312"/>
          <w:color w:val="auto"/>
          <w:kern w:val="2"/>
          <w:sz w:val="32"/>
          <w:szCs w:val="32"/>
          <w:highlight w:val="none"/>
          <w:lang w:val="en-US" w:eastAsia="zh-CN" w:bidi="ar-SA"/>
        </w:rPr>
        <w:t>一直以来高度重视高校毕业生以及</w:t>
      </w:r>
      <w:r>
        <w:rPr>
          <w:rFonts w:hint="eastAsia" w:ascii="仿宋_GB2312" w:hAnsi="仿宋_GB2312" w:eastAsia="仿宋_GB2312" w:cs="仿宋_GB2312"/>
          <w:kern w:val="0"/>
          <w:sz w:val="32"/>
          <w:szCs w:val="32"/>
          <w:highlight w:val="none"/>
          <w:lang w:val="en-US" w:eastAsia="zh-CN"/>
        </w:rPr>
        <w:t>农民工、城镇失业人员、脱贫劳动力的</w:t>
      </w:r>
      <w:r>
        <w:rPr>
          <w:rFonts w:hint="eastAsia" w:ascii="仿宋_GB2312" w:hAnsi="仿宋_GB2312" w:eastAsia="仿宋_GB2312" w:cs="仿宋_GB2312"/>
          <w:color w:val="auto"/>
          <w:kern w:val="2"/>
          <w:sz w:val="32"/>
          <w:szCs w:val="32"/>
          <w:highlight w:val="none"/>
          <w:lang w:val="en-US" w:eastAsia="zh-CN" w:bidi="ar-SA"/>
        </w:rPr>
        <w:t>就业创业工作，以本次</w:t>
      </w:r>
      <w:r>
        <w:rPr>
          <w:rFonts w:hint="eastAsia" w:ascii="仿宋_GB2312" w:hAnsi="仿宋_GB2312" w:eastAsia="仿宋_GB2312" w:cs="仿宋_GB2312"/>
          <w:kern w:val="0"/>
          <w:sz w:val="32"/>
          <w:szCs w:val="32"/>
          <w:highlight w:val="none"/>
          <w:lang w:val="en-US" w:eastAsia="zh-CN"/>
        </w:rPr>
        <w:t>百日千万招聘专项行动</w:t>
      </w:r>
      <w:r>
        <w:rPr>
          <w:rFonts w:hint="eastAsia" w:ascii="仿宋_GB2312" w:hAnsi="仿宋_GB2312" w:eastAsia="仿宋_GB2312" w:cs="仿宋_GB2312"/>
          <w:color w:val="auto"/>
          <w:kern w:val="2"/>
          <w:sz w:val="32"/>
          <w:szCs w:val="32"/>
          <w:highlight w:val="none"/>
          <w:lang w:val="en-US" w:eastAsia="zh-CN" w:bidi="ar-SA"/>
        </w:rPr>
        <w:t>为抓手，及时组织工作人员学习文件精神，落实专人，强化分工，一方面大力宣传稳就业、保居民就业相关政策，另一方面开展企业进社区招聘活动，乡镇（街道）组织人员做好招聘、求职信息摸底工作，确保有效对接，形成覆盖全区、上下联动、组织有力的工作体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240" w:lineRule="auto"/>
        <w:ind w:firstLine="643" w:firstLineChars="200"/>
        <w:jc w:val="both"/>
        <w:textAlignment w:val="auto"/>
        <w:rPr>
          <w:rFonts w:hint="eastAsia" w:ascii="仿宋_GB2312" w:hAnsi="仿宋_GB2312" w:eastAsia="仿宋_GB2312" w:cs="仿宋_GB2312"/>
          <w:i w:val="0"/>
          <w:iCs w:val="0"/>
          <w:caps w:val="0"/>
          <w:color w:val="auto"/>
          <w:spacing w:val="5"/>
          <w:sz w:val="32"/>
          <w:szCs w:val="32"/>
          <w:highlight w:val="none"/>
          <w:shd w:val="clear" w:color="auto" w:fill="FEFFFE"/>
        </w:rPr>
      </w:pPr>
      <w:r>
        <w:rPr>
          <w:rFonts w:hint="eastAsia" w:ascii="仿宋_GB2312" w:hAnsi="仿宋_GB2312" w:eastAsia="仿宋_GB2312" w:cs="仿宋_GB2312"/>
          <w:b/>
          <w:bCs/>
          <w:kern w:val="0"/>
          <w:sz w:val="32"/>
          <w:szCs w:val="32"/>
          <w:highlight w:val="none"/>
          <w:lang w:val="en-US" w:eastAsia="zh-CN" w:bidi="ar-SA"/>
        </w:rPr>
        <w:t>（二）创新服务模式，开展专场招聘</w:t>
      </w:r>
      <w:r>
        <w:rPr>
          <w:rFonts w:hint="eastAsia" w:ascii="仿宋_GB2312" w:hAnsi="仿宋_GB2312" w:eastAsia="仿宋_GB2312" w:cs="仿宋_GB2312"/>
          <w:b/>
          <w:bCs/>
          <w:kern w:val="0"/>
          <w:sz w:val="32"/>
          <w:szCs w:val="32"/>
          <w:highlight w:val="none"/>
          <w:lang w:val="en-US" w:eastAsia="zh-CN"/>
        </w:rPr>
        <w:t>。</w:t>
      </w:r>
      <w:r>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t>活动期间湛河区人社局分别组织参加万达广场、中骏世界城、白龟湖零工夜市专场</w:t>
      </w:r>
      <w:r>
        <w:rPr>
          <w:rFonts w:hint="default" w:ascii="仿宋_GB2312" w:hAnsi="宋体" w:eastAsia="仿宋_GB2312" w:cs="仿宋_GB2312"/>
          <w:sz w:val="32"/>
          <w:szCs w:val="32"/>
          <w:highlight w:val="none"/>
        </w:rPr>
        <w:t>招聘系列活动</w:t>
      </w:r>
      <w:r>
        <w:rPr>
          <w:rFonts w:hint="eastAsia" w:ascii="仿宋_GB2312" w:hAnsi="宋体" w:eastAsia="仿宋_GB2312" w:cs="仿宋_GB2312"/>
          <w:sz w:val="32"/>
          <w:szCs w:val="32"/>
          <w:highlight w:val="none"/>
          <w:lang w:val="en-US" w:eastAsia="zh-CN"/>
        </w:rPr>
        <w:t xml:space="preserve"> ，线下在人员密集的商圈、广场和零工驿站等地发布用工信息。零工夜市招聘会湛河区共组织114家企业参与，提供就业岗位</w:t>
      </w:r>
      <w:r>
        <w:rPr>
          <w:rFonts w:hint="eastAsia" w:ascii="仿宋_GB2312" w:hAnsi="仿宋_GB2312" w:eastAsia="仿宋_GB2312" w:cs="仿宋_GB2312"/>
          <w:kern w:val="0"/>
          <w:sz w:val="32"/>
          <w:szCs w:val="32"/>
          <w:highlight w:val="none"/>
          <w:lang w:val="en-US" w:eastAsia="zh-CN"/>
        </w:rPr>
        <w:t>1797</w:t>
      </w:r>
      <w:r>
        <w:rPr>
          <w:rFonts w:hint="eastAsia" w:ascii="仿宋_GB2312" w:hAnsi="宋体" w:eastAsia="仿宋_GB2312" w:cs="仿宋_GB2312"/>
          <w:sz w:val="32"/>
          <w:szCs w:val="32"/>
          <w:highlight w:val="none"/>
          <w:lang w:val="en-US" w:eastAsia="zh-CN"/>
        </w:rPr>
        <w:t>个，达成就业意愿185人。零工夜市招聘会的举办，为灵活就业人员和用人单位搭建了一个便捷、高效的对接平台，受到了广泛欢迎。</w:t>
      </w:r>
      <w:r>
        <w:rPr>
          <w:rFonts w:hint="eastAsia" w:ascii="仿宋_GB2312" w:hAnsi="仿宋_GB2312" w:eastAsia="仿宋_GB2312" w:cs="仿宋_GB2312"/>
          <w:i w:val="0"/>
          <w:iCs w:val="0"/>
          <w:caps w:val="0"/>
          <w:color w:val="auto"/>
          <w:spacing w:val="5"/>
          <w:sz w:val="32"/>
          <w:szCs w:val="32"/>
          <w:highlight w:val="none"/>
          <w:shd w:val="clear" w:color="auto" w:fill="FEFFFE"/>
        </w:rPr>
        <w:t>招聘会还开启了线上直播，同步开展就业创业政策宣传和企业岗位推送，为不能到现场参加应聘的求职者畅通对接渠道，促进求职者实现更便捷、更充分、更高质量的就业。</w:t>
      </w:r>
    </w:p>
    <w:p>
      <w:pPr>
        <w:numPr>
          <w:ilvl w:val="0"/>
          <w:numId w:val="0"/>
        </w:numPr>
        <w:bidi w:val="0"/>
        <w:ind w:firstLine="643" w:firstLineChars="200"/>
        <w:jc w:val="left"/>
        <w:rPr>
          <w:rFonts w:hint="eastAsia" w:ascii="仿宋_GB2312" w:hAnsi="仿宋_GB2312" w:eastAsia="仿宋_GB2312" w:cs="仿宋_GB2312"/>
          <w:i w:val="0"/>
          <w:iCs w:val="0"/>
          <w:caps w:val="0"/>
          <w:color w:val="auto"/>
          <w:spacing w:val="5"/>
          <w:sz w:val="32"/>
          <w:szCs w:val="32"/>
          <w:highlight w:val="none"/>
          <w:shd w:val="clear" w:color="auto" w:fill="FEFFFE"/>
        </w:rPr>
      </w:pPr>
      <w:r>
        <w:rPr>
          <w:rFonts w:hint="eastAsia" w:ascii="仿宋_GB2312" w:hAnsi="仿宋_GB2312" w:eastAsia="仿宋_GB2312" w:cs="仿宋_GB2312"/>
          <w:b/>
          <w:bCs/>
          <w:kern w:val="0"/>
          <w:sz w:val="32"/>
          <w:szCs w:val="32"/>
          <w:highlight w:val="none"/>
          <w:lang w:val="en-US" w:eastAsia="zh-CN"/>
        </w:rPr>
        <w:t>（三）加大政策宣传，精准对接服务。</w:t>
      </w:r>
      <w:r>
        <w:rPr>
          <w:rFonts w:hint="eastAsia" w:ascii="仿宋_GB2312" w:hAnsi="仿宋_GB2312" w:eastAsia="仿宋_GB2312" w:cs="仿宋_GB2312"/>
          <w:kern w:val="0"/>
          <w:sz w:val="32"/>
          <w:szCs w:val="32"/>
          <w:highlight w:val="none"/>
          <w:lang w:val="en-US" w:eastAsia="zh-CN"/>
        </w:rPr>
        <w:t>充分发挥基层劳动保障站所、公共就业服务机构、人力资源服务公司以及基层零工驿站等平台的积极作用，深入基层一线、群众内部，面对面广泛宣传最新就业创业政策，使辖区内有就业援助需求的居民知晓各类就业扶持政策及其申报流程和具体经办机构；使招用失业人员、就业困难人员等援助对象的用人单位了解相关优惠政策和具体办理程序，进一步扩大政策的知晓面，提高政策的执行力。同时在</w:t>
      </w:r>
      <w:r>
        <w:rPr>
          <w:rFonts w:hint="eastAsia" w:ascii="仿宋_GB2312" w:hAnsi="仿宋_GB2312" w:eastAsia="仿宋_GB2312" w:cs="仿宋_GB2312"/>
          <w:i w:val="0"/>
          <w:iCs w:val="0"/>
          <w:caps w:val="0"/>
          <w:color w:val="auto"/>
          <w:spacing w:val="5"/>
          <w:sz w:val="32"/>
          <w:szCs w:val="32"/>
          <w:highlight w:val="none"/>
          <w:shd w:val="clear" w:color="auto" w:fill="FEFFFE"/>
        </w:rPr>
        <w:t>招聘会现场设置有就业创</w:t>
      </w:r>
      <w:r>
        <w:rPr>
          <w:rFonts w:hint="eastAsia" w:ascii="仿宋_GB2312" w:hAnsi="仿宋_GB2312" w:eastAsia="仿宋_GB2312" w:cs="仿宋_GB2312"/>
          <w:i w:val="0"/>
          <w:iCs w:val="0"/>
          <w:caps w:val="0"/>
          <w:color w:val="auto"/>
          <w:spacing w:val="5"/>
          <w:sz w:val="32"/>
          <w:szCs w:val="32"/>
          <w:highlight w:val="none"/>
          <w:shd w:val="clear" w:color="auto" w:fill="FEFFFE"/>
          <w:lang w:eastAsia="zh-CN"/>
        </w:rPr>
        <w:t>人社部门惠民政策</w:t>
      </w:r>
      <w:r>
        <w:rPr>
          <w:rFonts w:hint="eastAsia" w:ascii="仿宋_GB2312" w:hAnsi="仿宋_GB2312" w:eastAsia="仿宋_GB2312" w:cs="仿宋_GB2312"/>
          <w:i w:val="0"/>
          <w:iCs w:val="0"/>
          <w:caps w:val="0"/>
          <w:color w:val="auto"/>
          <w:spacing w:val="5"/>
          <w:sz w:val="32"/>
          <w:szCs w:val="32"/>
          <w:highlight w:val="none"/>
          <w:shd w:val="clear" w:color="auto" w:fill="FEFFFE"/>
        </w:rPr>
        <w:t>咨询服务台，发放各类</w:t>
      </w:r>
      <w:r>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t>就业创业</w:t>
      </w:r>
      <w:r>
        <w:rPr>
          <w:rFonts w:hint="eastAsia" w:ascii="仿宋_GB2312" w:hAnsi="仿宋_GB2312" w:eastAsia="仿宋_GB2312" w:cs="仿宋_GB2312"/>
          <w:i w:val="0"/>
          <w:iCs w:val="0"/>
          <w:caps w:val="0"/>
          <w:color w:val="auto"/>
          <w:spacing w:val="5"/>
          <w:sz w:val="32"/>
          <w:szCs w:val="32"/>
          <w:highlight w:val="none"/>
          <w:shd w:val="clear" w:color="auto" w:fill="FEFFFE"/>
        </w:rPr>
        <w:t>政策宣传资料</w:t>
      </w:r>
      <w:r>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t>5000</w:t>
      </w:r>
      <w:r>
        <w:rPr>
          <w:rFonts w:hint="eastAsia" w:ascii="仿宋_GB2312" w:hAnsi="仿宋_GB2312" w:eastAsia="仿宋_GB2312" w:cs="仿宋_GB2312"/>
          <w:i w:val="0"/>
          <w:iCs w:val="0"/>
          <w:caps w:val="0"/>
          <w:color w:val="auto"/>
          <w:spacing w:val="5"/>
          <w:sz w:val="32"/>
          <w:szCs w:val="32"/>
          <w:highlight w:val="none"/>
          <w:shd w:val="clear" w:color="auto" w:fill="FEFFFE"/>
        </w:rPr>
        <w:t>余份。</w:t>
      </w:r>
    </w:p>
    <w:p>
      <w:pPr>
        <w:numPr>
          <w:ilvl w:val="0"/>
          <w:numId w:val="0"/>
        </w:numPr>
        <w:bidi w:val="0"/>
        <w:ind w:firstLine="643" w:firstLineChars="200"/>
        <w:jc w:val="left"/>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pPr>
      <w:r>
        <w:rPr>
          <w:rFonts w:hint="eastAsia" w:ascii="仿宋_GB2312" w:hAnsi="仿宋_GB2312" w:eastAsia="仿宋_GB2312" w:cs="仿宋_GB2312"/>
          <w:b/>
          <w:bCs/>
          <w:kern w:val="0"/>
          <w:sz w:val="32"/>
          <w:szCs w:val="32"/>
          <w:highlight w:val="none"/>
          <w:lang w:val="en-US" w:eastAsia="zh-CN"/>
        </w:rPr>
        <w:t>（四）立足长远，持续提供服务。</w:t>
      </w:r>
      <w:r>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t>建立与民营企业长效沟通机制，确保复工复产，稳定就业，对于援助对象实现就业的，实施动态跟踪帮扶，开展回访调查，了解他们就业现状和相关诉求意愿，帮助解决实际困难，提升就业质量和稳定性。本次</w:t>
      </w:r>
      <w:r>
        <w:rPr>
          <w:rFonts w:hint="eastAsia" w:ascii="仿宋_GB2312" w:hAnsi="仿宋_GB2312" w:eastAsia="仿宋_GB2312" w:cs="仿宋_GB2312"/>
          <w:kern w:val="0"/>
          <w:sz w:val="32"/>
          <w:szCs w:val="32"/>
          <w:highlight w:val="none"/>
          <w:lang w:val="en-US" w:eastAsia="zh-CN"/>
        </w:rPr>
        <w:t>百日千方招聘专项行动</w:t>
      </w:r>
      <w:r>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t>开展以来，共开展用工指导3余次，开展职业指导120余次，提供公共就业服务200余次，组织参加职业技能培训77人，填补了企业的用工需求，取得了良好的效果，营造了关心与支持就业工作的良好氛围。</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firstLine="640" w:firstLineChars="200"/>
        <w:jc w:val="both"/>
        <w:textAlignment w:val="auto"/>
        <w:rPr>
          <w:rFonts w:hint="default"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三、下一步工作打算</w:t>
      </w:r>
    </w:p>
    <w:p>
      <w:pPr>
        <w:bidi w:val="0"/>
        <w:ind w:firstLine="660" w:firstLineChars="200"/>
        <w:jc w:val="left"/>
        <w:rPr>
          <w:rFonts w:hint="eastAsia" w:ascii="仿宋_GB2312" w:hAnsi="仿宋_GB2312" w:eastAsia="仿宋_GB2312" w:cs="仿宋_GB2312"/>
          <w:i w:val="0"/>
          <w:iCs w:val="0"/>
          <w:caps w:val="0"/>
          <w:color w:val="auto"/>
          <w:spacing w:val="5"/>
          <w:sz w:val="32"/>
          <w:szCs w:val="32"/>
          <w:highlight w:val="none"/>
          <w:shd w:val="clear" w:color="auto" w:fill="FEFFFE"/>
        </w:rPr>
      </w:pPr>
      <w:r>
        <w:rPr>
          <w:rFonts w:hint="eastAsia" w:ascii="仿宋_GB2312" w:hAnsi="仿宋_GB2312" w:eastAsia="仿宋_GB2312" w:cs="仿宋_GB2312"/>
          <w:i w:val="0"/>
          <w:iCs w:val="0"/>
          <w:caps w:val="0"/>
          <w:color w:val="auto"/>
          <w:spacing w:val="5"/>
          <w:sz w:val="32"/>
          <w:szCs w:val="32"/>
          <w:highlight w:val="none"/>
          <w:shd w:val="clear" w:color="auto" w:fill="FEFFFE"/>
        </w:rPr>
        <w:t>下一步湛河区人社局将持续开拓就业渠道，确保重点群体求职有门、就业有路、困难有助，帮助企业正常运转和健康发展，在全社会营造关心和支持就业的良好氛围，让稳就业的“春风”更温暖。</w:t>
      </w:r>
    </w:p>
    <w:p>
      <w:pPr>
        <w:bidi w:val="0"/>
        <w:ind w:firstLine="660" w:firstLineChars="200"/>
        <w:jc w:val="left"/>
        <w:rPr>
          <w:rFonts w:hint="eastAsia" w:ascii="仿宋_GB2312" w:hAnsi="仿宋_GB2312" w:eastAsia="仿宋_GB2312" w:cs="仿宋_GB2312"/>
          <w:i w:val="0"/>
          <w:iCs w:val="0"/>
          <w:caps w:val="0"/>
          <w:color w:val="auto"/>
          <w:spacing w:val="5"/>
          <w:sz w:val="32"/>
          <w:szCs w:val="32"/>
          <w:highlight w:val="none"/>
          <w:shd w:val="clear" w:color="auto" w:fill="FEFFFE"/>
        </w:rPr>
      </w:pPr>
      <w:r>
        <w:rPr>
          <w:rFonts w:hint="eastAsia" w:ascii="仿宋_GB2312" w:hAnsi="仿宋_GB2312" w:eastAsia="仿宋_GB2312" w:cs="仿宋_GB2312"/>
          <w:i w:val="0"/>
          <w:iCs w:val="0"/>
          <w:caps w:val="0"/>
          <w:color w:val="auto"/>
          <w:spacing w:val="5"/>
          <w:sz w:val="32"/>
          <w:szCs w:val="32"/>
          <w:highlight w:val="none"/>
          <w:shd w:val="clear" w:color="auto" w:fill="FEFFFE"/>
          <w:lang w:eastAsia="zh-CN"/>
        </w:rPr>
        <w:t>（</w:t>
      </w:r>
      <w:r>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t>一）</w:t>
      </w:r>
      <w:r>
        <w:rPr>
          <w:rFonts w:hint="eastAsia" w:ascii="仿宋_GB2312" w:hAnsi="仿宋_GB2312" w:eastAsia="仿宋_GB2312" w:cs="仿宋_GB2312"/>
          <w:i w:val="0"/>
          <w:iCs w:val="0"/>
          <w:caps w:val="0"/>
          <w:color w:val="auto"/>
          <w:spacing w:val="5"/>
          <w:sz w:val="32"/>
          <w:szCs w:val="32"/>
          <w:highlight w:val="none"/>
          <w:shd w:val="clear" w:color="auto" w:fill="FEFFFE"/>
        </w:rPr>
        <w:t>开展技能和创业培训</w:t>
      </w:r>
      <w:r>
        <w:rPr>
          <w:rFonts w:hint="eastAsia" w:ascii="仿宋_GB2312" w:hAnsi="仿宋_GB2312" w:eastAsia="仿宋_GB2312" w:cs="仿宋_GB2312"/>
          <w:i w:val="0"/>
          <w:iCs w:val="0"/>
          <w:caps w:val="0"/>
          <w:color w:val="auto"/>
          <w:spacing w:val="5"/>
          <w:sz w:val="32"/>
          <w:szCs w:val="32"/>
          <w:highlight w:val="none"/>
          <w:shd w:val="clear" w:color="auto" w:fill="FEFFFE"/>
          <w:lang w:eastAsia="zh-CN"/>
        </w:rPr>
        <w:t>。</w:t>
      </w:r>
      <w:r>
        <w:rPr>
          <w:rFonts w:hint="eastAsia" w:ascii="仿宋_GB2312" w:hAnsi="仿宋_GB2312" w:eastAsia="仿宋_GB2312" w:cs="仿宋_GB2312"/>
          <w:i w:val="0"/>
          <w:iCs w:val="0"/>
          <w:caps w:val="0"/>
          <w:color w:val="auto"/>
          <w:spacing w:val="5"/>
          <w:sz w:val="32"/>
          <w:szCs w:val="32"/>
          <w:highlight w:val="none"/>
          <w:shd w:val="clear" w:color="auto" w:fill="FEFFFE"/>
        </w:rPr>
        <w:t>让更多的</w:t>
      </w:r>
      <w:r>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t>就业困难人员</w:t>
      </w:r>
      <w:r>
        <w:rPr>
          <w:rFonts w:hint="eastAsia" w:ascii="仿宋_GB2312" w:hAnsi="仿宋_GB2312" w:eastAsia="仿宋_GB2312" w:cs="仿宋_GB2312"/>
          <w:i w:val="0"/>
          <w:iCs w:val="0"/>
          <w:caps w:val="0"/>
          <w:color w:val="auto"/>
          <w:spacing w:val="5"/>
          <w:sz w:val="32"/>
          <w:szCs w:val="32"/>
          <w:highlight w:val="none"/>
          <w:shd w:val="clear" w:color="auto" w:fill="FEFFFE"/>
        </w:rPr>
        <w:t>掌握一技之长。组织有培训意愿的</w:t>
      </w:r>
      <w:r>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t>农村劳动力、高校毕业生等就业困难人员</w:t>
      </w:r>
      <w:r>
        <w:rPr>
          <w:rFonts w:hint="eastAsia" w:ascii="仿宋_GB2312" w:hAnsi="仿宋_GB2312" w:eastAsia="仿宋_GB2312" w:cs="仿宋_GB2312"/>
          <w:i w:val="0"/>
          <w:iCs w:val="0"/>
          <w:caps w:val="0"/>
          <w:color w:val="auto"/>
          <w:spacing w:val="5"/>
          <w:sz w:val="32"/>
          <w:szCs w:val="32"/>
          <w:highlight w:val="none"/>
          <w:shd w:val="clear" w:color="auto" w:fill="FEFFFE"/>
        </w:rPr>
        <w:t>参加职业技能培训，特别是应用工单位需求组织有针对性的岗前培训。增强其就业能力和在市场中的竞争能力，努力做到促进就业与稳定就业相互依托，素质就业与开发岗位同时并举。</w:t>
      </w:r>
    </w:p>
    <w:p>
      <w:pPr>
        <w:bidi w:val="0"/>
        <w:ind w:firstLine="660" w:firstLineChars="200"/>
        <w:jc w:val="left"/>
        <w:rPr>
          <w:rFonts w:hint="eastAsia" w:ascii="仿宋_GB2312" w:hAnsi="仿宋_GB2312" w:eastAsia="仿宋_GB2312" w:cs="仿宋_GB2312"/>
          <w:i w:val="0"/>
          <w:iCs w:val="0"/>
          <w:caps w:val="0"/>
          <w:color w:val="auto"/>
          <w:spacing w:val="5"/>
          <w:sz w:val="32"/>
          <w:szCs w:val="32"/>
          <w:highlight w:val="none"/>
          <w:shd w:val="clear" w:color="auto" w:fill="FEFFFE"/>
        </w:rPr>
      </w:pPr>
      <w:r>
        <w:rPr>
          <w:rFonts w:hint="eastAsia" w:ascii="仿宋_GB2312" w:hAnsi="仿宋_GB2312" w:eastAsia="仿宋_GB2312" w:cs="仿宋_GB2312"/>
          <w:i w:val="0"/>
          <w:iCs w:val="0"/>
          <w:caps w:val="0"/>
          <w:color w:val="auto"/>
          <w:spacing w:val="5"/>
          <w:sz w:val="32"/>
          <w:szCs w:val="32"/>
          <w:highlight w:val="none"/>
          <w:shd w:val="clear" w:color="auto" w:fill="FEFFFE"/>
        </w:rPr>
        <w:t>(</w:t>
      </w:r>
      <w:r>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t>二</w:t>
      </w:r>
      <w:r>
        <w:rPr>
          <w:rFonts w:hint="eastAsia" w:ascii="仿宋_GB2312" w:hAnsi="仿宋_GB2312" w:eastAsia="仿宋_GB2312" w:cs="仿宋_GB2312"/>
          <w:i w:val="0"/>
          <w:iCs w:val="0"/>
          <w:caps w:val="0"/>
          <w:color w:val="auto"/>
          <w:spacing w:val="5"/>
          <w:sz w:val="32"/>
          <w:szCs w:val="32"/>
          <w:highlight w:val="none"/>
          <w:shd w:val="clear" w:color="auto" w:fill="FEFFFE"/>
        </w:rPr>
        <w:t>）积极落实各项就业扶持政策。从落实社保补贴、岗位补贴、培训补贴等多方面入手，以街道（乡）、社区（村）劳动保障平台为依托，全面落实各项就业扶持政策，维护援助对象的合法权益。对符合条件但尚未享受灵活就业社保补贴、小额担保贷款、免费职业技能培训等优惠政策的人员，上门开展</w:t>
      </w:r>
      <w:r>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t>政策</w:t>
      </w:r>
      <w:r>
        <w:rPr>
          <w:rFonts w:hint="eastAsia" w:ascii="仿宋_GB2312" w:hAnsi="仿宋_GB2312" w:eastAsia="仿宋_GB2312" w:cs="仿宋_GB2312"/>
          <w:i w:val="0"/>
          <w:iCs w:val="0"/>
          <w:caps w:val="0"/>
          <w:color w:val="auto"/>
          <w:spacing w:val="5"/>
          <w:sz w:val="32"/>
          <w:szCs w:val="32"/>
          <w:highlight w:val="none"/>
          <w:shd w:val="clear" w:color="auto" w:fill="FEFFFE"/>
        </w:rPr>
        <w:t>宣传咨询服务活动，帮助他们落实优惠政策。</w:t>
      </w:r>
    </w:p>
    <w:p>
      <w:pPr>
        <w:bidi w:val="0"/>
        <w:ind w:firstLine="660" w:firstLineChars="200"/>
        <w:jc w:val="left"/>
        <w:rPr>
          <w:rFonts w:hint="eastAsia" w:ascii="仿宋_GB2312" w:hAnsi="仿宋_GB2312" w:eastAsia="仿宋_GB2312" w:cs="仿宋_GB2312"/>
          <w:i w:val="0"/>
          <w:iCs w:val="0"/>
          <w:caps w:val="0"/>
          <w:color w:val="auto"/>
          <w:spacing w:val="5"/>
          <w:sz w:val="32"/>
          <w:szCs w:val="32"/>
          <w:highlight w:val="none"/>
          <w:shd w:val="clear" w:color="auto" w:fill="FEFFFE"/>
        </w:rPr>
      </w:pPr>
      <w:r>
        <w:rPr>
          <w:rFonts w:hint="eastAsia" w:ascii="仿宋_GB2312" w:hAnsi="仿宋_GB2312" w:eastAsia="仿宋_GB2312" w:cs="仿宋_GB2312"/>
          <w:i w:val="0"/>
          <w:iCs w:val="0"/>
          <w:caps w:val="0"/>
          <w:color w:val="auto"/>
          <w:spacing w:val="5"/>
          <w:sz w:val="32"/>
          <w:szCs w:val="32"/>
          <w:highlight w:val="none"/>
          <w:shd w:val="clear" w:color="auto" w:fill="FEFFFE"/>
        </w:rPr>
        <w:t>(</w:t>
      </w:r>
      <w:r>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t>三</w:t>
      </w:r>
      <w:r>
        <w:rPr>
          <w:rFonts w:hint="eastAsia" w:ascii="仿宋_GB2312" w:hAnsi="仿宋_GB2312" w:eastAsia="仿宋_GB2312" w:cs="仿宋_GB2312"/>
          <w:i w:val="0"/>
          <w:iCs w:val="0"/>
          <w:caps w:val="0"/>
          <w:color w:val="auto"/>
          <w:spacing w:val="5"/>
          <w:sz w:val="32"/>
          <w:szCs w:val="32"/>
          <w:highlight w:val="none"/>
          <w:shd w:val="clear" w:color="auto" w:fill="FEFFFE"/>
        </w:rPr>
        <w:t>）加强跟踪服务力度。以街道(乡)、社区（村）</w:t>
      </w:r>
      <w:r>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t>劳动</w:t>
      </w:r>
      <w:r>
        <w:rPr>
          <w:rFonts w:hint="eastAsia" w:ascii="仿宋_GB2312" w:hAnsi="仿宋_GB2312" w:eastAsia="仿宋_GB2312" w:cs="仿宋_GB2312"/>
          <w:i w:val="0"/>
          <w:iCs w:val="0"/>
          <w:caps w:val="0"/>
          <w:color w:val="auto"/>
          <w:spacing w:val="5"/>
          <w:sz w:val="32"/>
          <w:szCs w:val="32"/>
          <w:highlight w:val="none"/>
          <w:shd w:val="clear" w:color="auto" w:fill="FEFFFE"/>
        </w:rPr>
        <w:t>保障平台为载体，重点对尚未就业的援助对象，通过公益性岗位进行</w:t>
      </w:r>
      <w:r>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t>安置</w:t>
      </w:r>
      <w:r>
        <w:rPr>
          <w:rFonts w:hint="eastAsia" w:ascii="仿宋_GB2312" w:hAnsi="仿宋_GB2312" w:eastAsia="仿宋_GB2312" w:cs="仿宋_GB2312"/>
          <w:i w:val="0"/>
          <w:iCs w:val="0"/>
          <w:caps w:val="0"/>
          <w:color w:val="auto"/>
          <w:spacing w:val="5"/>
          <w:sz w:val="32"/>
          <w:szCs w:val="32"/>
          <w:highlight w:val="none"/>
          <w:shd w:val="clear" w:color="auto" w:fill="FEFFFE"/>
        </w:rPr>
        <w:t>，配套落实各项扶持政策；</w:t>
      </w:r>
      <w:r>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t>对</w:t>
      </w:r>
      <w:r>
        <w:rPr>
          <w:rFonts w:hint="eastAsia" w:ascii="仿宋_GB2312" w:hAnsi="仿宋_GB2312" w:eastAsia="仿宋_GB2312" w:cs="仿宋_GB2312"/>
          <w:i w:val="0"/>
          <w:iCs w:val="0"/>
          <w:caps w:val="0"/>
          <w:color w:val="auto"/>
          <w:spacing w:val="5"/>
          <w:sz w:val="32"/>
          <w:szCs w:val="32"/>
          <w:highlight w:val="none"/>
          <w:shd w:val="clear" w:color="auto" w:fill="FEFFFE"/>
        </w:rPr>
        <w:t>已经实现就业的援助对象分类进行跟踪管理，及时沟通联系，动态掌握援助对象就业状况的变化，确保其尽早实现就业和稳定就业。</w:t>
      </w:r>
    </w:p>
    <w:p>
      <w:pPr>
        <w:numPr>
          <w:ilvl w:val="0"/>
          <w:numId w:val="0"/>
        </w:numPr>
        <w:bidi w:val="0"/>
        <w:ind w:leftChars="200"/>
        <w:jc w:val="left"/>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pPr>
    </w:p>
    <w:p>
      <w:pPr>
        <w:numPr>
          <w:ilvl w:val="0"/>
          <w:numId w:val="0"/>
        </w:numPr>
        <w:bidi w:val="0"/>
        <w:ind w:leftChars="200"/>
        <w:jc w:val="left"/>
        <w:rPr>
          <w:rFonts w:hint="eastAsia" w:ascii="仿宋_GB2312" w:hAnsi="仿宋_GB2312" w:eastAsia="仿宋_GB2312" w:cs="仿宋_GB2312"/>
          <w:i w:val="0"/>
          <w:iCs w:val="0"/>
          <w:caps w:val="0"/>
          <w:color w:val="auto"/>
          <w:spacing w:val="5"/>
          <w:sz w:val="32"/>
          <w:szCs w:val="32"/>
          <w:highlight w:val="none"/>
          <w:shd w:val="clear" w:color="auto" w:fill="FEFFFE"/>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240" w:lineRule="auto"/>
        <w:jc w:val="both"/>
        <w:textAlignment w:val="auto"/>
        <w:rPr>
          <w:rFonts w:hint="eastAsia" w:ascii="仿宋_GB2312" w:hAnsi="仿宋_GB2312" w:eastAsia="仿宋_GB2312" w:cs="仿宋_GB2312"/>
          <w:i w:val="0"/>
          <w:iCs w:val="0"/>
          <w:caps w:val="0"/>
          <w:color w:val="auto"/>
          <w:spacing w:val="5"/>
          <w:sz w:val="32"/>
          <w:szCs w:val="32"/>
          <w:highlight w:val="none"/>
          <w:shd w:val="clear" w:color="auto" w:fill="FEFFF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outlineLvl w:val="9"/>
        <w:rPr>
          <w:rFonts w:hint="eastAsia" w:ascii="仿宋_GB2312" w:hAnsi="仿宋_GB2312" w:eastAsia="仿宋_GB2312" w:cs="仿宋_GB2312"/>
          <w:kern w:val="0"/>
          <w:sz w:val="32"/>
          <w:szCs w:val="32"/>
          <w:lang w:val="en-US" w:eastAsia="zh-CN"/>
        </w:rPr>
      </w:pPr>
    </w:p>
    <w:p>
      <w:pPr>
        <w:sectPr>
          <w:pgSz w:w="11906" w:h="16838"/>
          <w:pgMar w:top="1440" w:right="1800" w:bottom="1440" w:left="1800" w:header="851" w:footer="992" w:gutter="0"/>
          <w:cols w:space="425" w:num="1"/>
          <w:docGrid w:type="lines" w:linePitch="312" w:charSpace="0"/>
        </w:sectPr>
      </w:pPr>
      <w:r>
        <w:br w:type="page"/>
      </w:r>
    </w:p>
    <w:tbl>
      <w:tblPr>
        <w:tblW w:w="21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72"/>
        <w:gridCol w:w="469"/>
        <w:gridCol w:w="482"/>
        <w:gridCol w:w="470"/>
        <w:gridCol w:w="402"/>
        <w:gridCol w:w="505"/>
        <w:gridCol w:w="539"/>
        <w:gridCol w:w="528"/>
        <w:gridCol w:w="517"/>
        <w:gridCol w:w="516"/>
        <w:gridCol w:w="516"/>
        <w:gridCol w:w="516"/>
        <w:gridCol w:w="517"/>
        <w:gridCol w:w="517"/>
        <w:gridCol w:w="516"/>
        <w:gridCol w:w="516"/>
        <w:gridCol w:w="516"/>
        <w:gridCol w:w="459"/>
        <w:gridCol w:w="413"/>
        <w:gridCol w:w="516"/>
        <w:gridCol w:w="517"/>
        <w:gridCol w:w="517"/>
        <w:gridCol w:w="515"/>
        <w:gridCol w:w="516"/>
        <w:gridCol w:w="517"/>
        <w:gridCol w:w="494"/>
        <w:gridCol w:w="516"/>
        <w:gridCol w:w="516"/>
        <w:gridCol w:w="517"/>
        <w:gridCol w:w="516"/>
        <w:gridCol w:w="516"/>
        <w:gridCol w:w="517"/>
        <w:gridCol w:w="516"/>
        <w:gridCol w:w="516"/>
        <w:gridCol w:w="517"/>
        <w:gridCol w:w="516"/>
        <w:gridCol w:w="516"/>
        <w:gridCol w:w="516"/>
        <w:gridCol w:w="516"/>
        <w:gridCol w:w="517"/>
        <w:gridCol w:w="516"/>
        <w:gridCol w:w="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89" w:hRule="atLeast"/>
        </w:trPr>
        <w:tc>
          <w:tcPr>
            <w:tcW w:w="21240" w:type="dxa"/>
            <w:gridSpan w:val="42"/>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6"/>
                <w:szCs w:val="36"/>
                <w:u w:val="none"/>
              </w:rPr>
            </w:pPr>
            <w:r>
              <w:rPr>
                <w:rFonts w:hint="eastAsia" w:ascii="方正小标宋简体" w:hAnsi="方正小标宋简体" w:eastAsia="方正小标宋简体" w:cs="方正小标宋简体"/>
                <w:b/>
                <w:i w:val="0"/>
                <w:color w:val="000000"/>
                <w:kern w:val="0"/>
                <w:sz w:val="36"/>
                <w:szCs w:val="36"/>
                <w:u w:val="none"/>
                <w:bdr w:val="none" w:color="auto" w:sz="0" w:space="0"/>
                <w:lang w:val="en-US" w:eastAsia="zh-CN" w:bidi="ar"/>
              </w:rPr>
              <w:t>“百日千万招聘专项行动”情况统计表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18" w:hRule="atLeast"/>
        </w:trPr>
        <w:tc>
          <w:tcPr>
            <w:tcW w:w="21240" w:type="dxa"/>
            <w:gridSpan w:val="42"/>
            <w:shd w:val="clear"/>
            <w:vAlign w:val="center"/>
          </w:tcPr>
          <w:p>
            <w:pPr>
              <w:keepNext w:val="0"/>
              <w:keepLines w:val="0"/>
              <w:widowControl/>
              <w:suppressLineNumbers w:val="0"/>
              <w:jc w:val="left"/>
              <w:textAlignment w:val="center"/>
              <w:rPr>
                <w:rFonts w:ascii="楷体_GB2312" w:hAnsi="宋体" w:eastAsia="楷体_GB2312" w:cs="楷体_GB2312"/>
                <w:b/>
                <w:i w:val="0"/>
                <w:color w:val="000000"/>
                <w:sz w:val="22"/>
                <w:szCs w:val="22"/>
                <w:u w:val="none"/>
              </w:rPr>
            </w:pPr>
            <w:r>
              <w:rPr>
                <w:rFonts w:hint="eastAsia" w:ascii="楷体_GB2312" w:hAnsi="宋体" w:eastAsia="楷体_GB2312" w:cs="楷体_GB2312"/>
                <w:b/>
                <w:i w:val="0"/>
                <w:color w:val="000000"/>
                <w:kern w:val="0"/>
                <w:sz w:val="22"/>
                <w:szCs w:val="22"/>
                <w:u w:val="none"/>
                <w:bdr w:val="none" w:color="auto" w:sz="0" w:space="0"/>
                <w:lang w:val="en-US" w:eastAsia="zh-CN" w:bidi="ar"/>
              </w:rPr>
              <w:t>填报单位（签章）：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46" w:hRule="atLeast"/>
        </w:trPr>
        <w:tc>
          <w:tcPr>
            <w:tcW w:w="2295" w:type="dxa"/>
            <w:gridSpan w:val="5"/>
            <w:vMerge w:val="restart"/>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bdr w:val="none" w:color="auto" w:sz="0" w:space="0"/>
                <w:lang w:val="en-US" w:eastAsia="zh-CN" w:bidi="ar"/>
              </w:rPr>
              <w:t>参加活动的机构</w:t>
            </w:r>
          </w:p>
        </w:tc>
        <w:tc>
          <w:tcPr>
            <w:tcW w:w="6219" w:type="dxa"/>
            <w:gridSpan w:val="1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bdr w:val="none" w:color="auto" w:sz="0" w:space="0"/>
                <w:lang w:val="en-US" w:eastAsia="zh-CN" w:bidi="ar"/>
              </w:rPr>
              <w:t>各类线下招聘会</w:t>
            </w:r>
          </w:p>
        </w:tc>
        <w:tc>
          <w:tcPr>
            <w:tcW w:w="4980" w:type="dxa"/>
            <w:gridSpan w:val="10"/>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FF0000"/>
                <w:sz w:val="20"/>
                <w:szCs w:val="20"/>
                <w:u w:val="none"/>
              </w:rPr>
            </w:pPr>
            <w:r>
              <w:rPr>
                <w:rFonts w:hint="eastAsia" w:ascii="黑体" w:hAnsi="宋体" w:eastAsia="黑体" w:cs="黑体"/>
                <w:b/>
                <w:i w:val="0"/>
                <w:color w:val="FF0000"/>
                <w:kern w:val="0"/>
                <w:sz w:val="20"/>
                <w:szCs w:val="20"/>
                <w:u w:val="none"/>
                <w:bdr w:val="none" w:color="auto" w:sz="0" w:space="0"/>
                <w:lang w:val="en-US" w:eastAsia="zh-CN" w:bidi="ar"/>
              </w:rPr>
              <w:t>各类线上招聘会</w:t>
            </w:r>
          </w:p>
        </w:tc>
        <w:tc>
          <w:tcPr>
            <w:tcW w:w="5163" w:type="dxa"/>
            <w:gridSpan w:val="10"/>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bdr w:val="none" w:color="auto" w:sz="0" w:space="0"/>
                <w:lang w:val="en-US" w:eastAsia="zh-CN" w:bidi="ar"/>
              </w:rPr>
              <w:t>直播带岗招聘活动</w:t>
            </w:r>
          </w:p>
        </w:tc>
        <w:tc>
          <w:tcPr>
            <w:tcW w:w="2583" w:type="dxa"/>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bdr w:val="none" w:color="auto" w:sz="0" w:space="0"/>
                <w:lang w:val="en-US" w:eastAsia="zh-CN" w:bidi="ar"/>
              </w:rPr>
              <w:t>本地拓展服务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46" w:hRule="atLeast"/>
        </w:trPr>
        <w:tc>
          <w:tcPr>
            <w:tcW w:w="2295" w:type="dxa"/>
            <w:gridSpan w:val="5"/>
            <w:vMerge w:val="continue"/>
            <w:tcBorders>
              <w:top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b/>
                <w:i w:val="0"/>
                <w:color w:val="000000"/>
                <w:sz w:val="20"/>
                <w:szCs w:val="20"/>
                <w:u w:val="none"/>
              </w:rPr>
            </w:pPr>
          </w:p>
        </w:tc>
        <w:tc>
          <w:tcPr>
            <w:tcW w:w="6219" w:type="dxa"/>
            <w:gridSpan w:val="1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b/>
                <w:i w:val="0"/>
                <w:color w:val="000000"/>
                <w:sz w:val="20"/>
                <w:szCs w:val="20"/>
                <w:u w:val="none"/>
              </w:rPr>
            </w:pPr>
          </w:p>
        </w:tc>
        <w:tc>
          <w:tcPr>
            <w:tcW w:w="4980" w:type="dxa"/>
            <w:gridSpan w:val="10"/>
            <w:vMerge w:val="continue"/>
            <w:tcBorders>
              <w:top w:val="single" w:color="000000" w:sz="4" w:space="0"/>
              <w:left w:val="single" w:color="000000" w:sz="4" w:space="0"/>
              <w:right w:val="single" w:color="000000" w:sz="4" w:space="0"/>
            </w:tcBorders>
            <w:shd w:val="clear"/>
            <w:vAlign w:val="center"/>
          </w:tcPr>
          <w:p>
            <w:pPr>
              <w:jc w:val="center"/>
              <w:rPr>
                <w:rFonts w:hint="eastAsia" w:ascii="黑体" w:hAnsi="宋体" w:eastAsia="黑体" w:cs="黑体"/>
                <w:b/>
                <w:i w:val="0"/>
                <w:color w:val="FF0000"/>
                <w:sz w:val="20"/>
                <w:szCs w:val="20"/>
                <w:u w:val="none"/>
              </w:rPr>
            </w:pPr>
          </w:p>
        </w:tc>
        <w:tc>
          <w:tcPr>
            <w:tcW w:w="5163" w:type="dxa"/>
            <w:gridSpan w:val="10"/>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b/>
                <w:i w:val="0"/>
                <w:color w:val="000000"/>
                <w:sz w:val="20"/>
                <w:szCs w:val="20"/>
                <w:u w:val="none"/>
              </w:rPr>
            </w:pPr>
          </w:p>
        </w:tc>
        <w:tc>
          <w:tcPr>
            <w:tcW w:w="2583"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1" w:hRule="atLeast"/>
        </w:trPr>
        <w:tc>
          <w:tcPr>
            <w:tcW w:w="47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省级公共就业人才服务机构数</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地市级公共就业人才服务机构数</w:t>
            </w:r>
          </w:p>
        </w:tc>
        <w:tc>
          <w:tcPr>
            <w:tcW w:w="4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县级公共就业人才服务机构数</w:t>
            </w: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人力资源服务机构数</w:t>
            </w:r>
          </w:p>
        </w:tc>
        <w:tc>
          <w:tcPr>
            <w:tcW w:w="402" w:type="dxa"/>
            <w:vMerge w:val="restart"/>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行业协会数</w:t>
            </w:r>
          </w:p>
        </w:tc>
        <w:tc>
          <w:tcPr>
            <w:tcW w:w="1044" w:type="dxa"/>
            <w:gridSpan w:val="2"/>
            <w:tcBorders>
              <w:top w:val="single" w:color="000000" w:sz="4" w:space="0"/>
              <w:lef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举办场次数</w:t>
            </w:r>
          </w:p>
        </w:tc>
        <w:tc>
          <w:tcPr>
            <w:tcW w:w="1045" w:type="dxa"/>
            <w:gridSpan w:val="2"/>
            <w:tcBorders>
              <w:top w:val="single" w:color="000000" w:sz="4" w:space="0"/>
              <w:lef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用人单位数</w:t>
            </w:r>
          </w:p>
        </w:tc>
        <w:tc>
          <w:tcPr>
            <w:tcW w:w="1032" w:type="dxa"/>
            <w:gridSpan w:val="2"/>
            <w:tcBorders>
              <w:top w:val="single" w:color="000000" w:sz="4" w:space="0"/>
              <w:lef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发布岗位数（招聘人数）</w:t>
            </w:r>
          </w:p>
        </w:tc>
        <w:tc>
          <w:tcPr>
            <w:tcW w:w="1033" w:type="dxa"/>
            <w:gridSpan w:val="2"/>
            <w:tcBorders>
              <w:top w:val="single" w:color="000000" w:sz="4" w:space="0"/>
              <w:lef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入场求职</w:t>
            </w:r>
            <w:r>
              <w:rPr>
                <w:rFonts w:hint="eastAsia" w:ascii="宋体" w:hAnsi="宋体" w:eastAsia="宋体" w:cs="宋体"/>
                <w:b/>
                <w:i w:val="0"/>
                <w:color w:val="000000"/>
                <w:kern w:val="0"/>
                <w:sz w:val="20"/>
                <w:szCs w:val="20"/>
                <w:u w:val="none"/>
                <w:bdr w:val="none" w:color="auto" w:sz="0" w:space="0"/>
                <w:lang w:val="en-US" w:eastAsia="zh-CN" w:bidi="ar"/>
              </w:rPr>
              <w:br w:type="textWrapping"/>
            </w:r>
            <w:r>
              <w:rPr>
                <w:rFonts w:hint="eastAsia" w:ascii="宋体" w:hAnsi="宋体" w:eastAsia="宋体" w:cs="宋体"/>
                <w:b/>
                <w:i w:val="0"/>
                <w:color w:val="000000"/>
                <w:kern w:val="0"/>
                <w:sz w:val="20"/>
                <w:szCs w:val="20"/>
                <w:u w:val="none"/>
                <w:bdr w:val="none" w:color="auto" w:sz="0" w:space="0"/>
                <w:lang w:val="en-US" w:eastAsia="zh-CN" w:bidi="ar"/>
              </w:rPr>
              <w:t>人数</w:t>
            </w:r>
          </w:p>
        </w:tc>
        <w:tc>
          <w:tcPr>
            <w:tcW w:w="1033" w:type="dxa"/>
            <w:gridSpan w:val="2"/>
            <w:tcBorders>
              <w:top w:val="single" w:color="000000" w:sz="4" w:space="0"/>
              <w:lef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收取简历数</w:t>
            </w:r>
          </w:p>
        </w:tc>
        <w:tc>
          <w:tcPr>
            <w:tcW w:w="1032" w:type="dxa"/>
            <w:gridSpan w:val="2"/>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初步达成意向人数</w:t>
            </w:r>
          </w:p>
        </w:tc>
        <w:tc>
          <w:tcPr>
            <w:tcW w:w="872" w:type="dxa"/>
            <w:gridSpan w:val="2"/>
            <w:tcBorders>
              <w:top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举办场次数</w:t>
            </w:r>
          </w:p>
        </w:tc>
        <w:tc>
          <w:tcPr>
            <w:tcW w:w="1033" w:type="dxa"/>
            <w:gridSpan w:val="2"/>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用人单位数</w:t>
            </w:r>
          </w:p>
        </w:tc>
        <w:tc>
          <w:tcPr>
            <w:tcW w:w="1032" w:type="dxa"/>
            <w:gridSpan w:val="2"/>
            <w:tcBorders>
              <w:top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发布岗位数岗位数（招聘人数）</w:t>
            </w:r>
          </w:p>
        </w:tc>
        <w:tc>
          <w:tcPr>
            <w:tcW w:w="1033" w:type="dxa"/>
            <w:gridSpan w:val="2"/>
            <w:tcBorders>
              <w:top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求职人数（注册简历数）</w:t>
            </w:r>
          </w:p>
        </w:tc>
        <w:tc>
          <w:tcPr>
            <w:tcW w:w="1010" w:type="dxa"/>
            <w:gridSpan w:val="2"/>
            <w:tcBorders>
              <w:top w:val="single" w:color="000000" w:sz="4" w:space="0"/>
              <w:lef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投递简历数</w:t>
            </w:r>
          </w:p>
        </w:tc>
        <w:tc>
          <w:tcPr>
            <w:tcW w:w="1033" w:type="dxa"/>
            <w:gridSpan w:val="2"/>
            <w:tcBorders>
              <w:top w:val="single" w:color="000000" w:sz="4" w:space="0"/>
              <w:lef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举办场次数</w:t>
            </w:r>
          </w:p>
        </w:tc>
        <w:tc>
          <w:tcPr>
            <w:tcW w:w="1032" w:type="dxa"/>
            <w:gridSpan w:val="2"/>
            <w:tcBorders>
              <w:top w:val="single" w:color="000000" w:sz="4" w:space="0"/>
              <w:lef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用人单位数</w:t>
            </w:r>
          </w:p>
        </w:tc>
        <w:tc>
          <w:tcPr>
            <w:tcW w:w="1033" w:type="dxa"/>
            <w:gridSpan w:val="2"/>
            <w:tcBorders>
              <w:top w:val="single" w:color="000000" w:sz="4" w:space="0"/>
              <w:lef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发布岗位数（招聘人数）</w:t>
            </w:r>
          </w:p>
        </w:tc>
        <w:tc>
          <w:tcPr>
            <w:tcW w:w="1033" w:type="dxa"/>
            <w:gridSpan w:val="2"/>
            <w:tcBorders>
              <w:top w:val="single" w:color="000000" w:sz="4" w:space="0"/>
              <w:lef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求职人数（注册简历数）</w:t>
            </w:r>
          </w:p>
        </w:tc>
        <w:tc>
          <w:tcPr>
            <w:tcW w:w="1032" w:type="dxa"/>
            <w:gridSpan w:val="2"/>
            <w:tcBorders>
              <w:top w:val="single" w:color="000000" w:sz="4" w:space="0"/>
              <w:lef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投递简历数</w:t>
            </w:r>
          </w:p>
        </w:tc>
        <w:tc>
          <w:tcPr>
            <w:tcW w:w="51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开展用工指导次数</w:t>
            </w:r>
          </w:p>
        </w:tc>
        <w:tc>
          <w:tcPr>
            <w:tcW w:w="51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开展职业指导次数</w:t>
            </w:r>
          </w:p>
        </w:tc>
        <w:tc>
          <w:tcPr>
            <w:tcW w:w="51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提供公共就业服务人数</w:t>
            </w:r>
          </w:p>
        </w:tc>
        <w:tc>
          <w:tcPr>
            <w:tcW w:w="51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组织参加职业技能培训人数</w:t>
            </w:r>
          </w:p>
        </w:tc>
        <w:tc>
          <w:tcPr>
            <w:tcW w:w="5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发放就业政策宣传材料份数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65"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4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402" w:type="dxa"/>
            <w:vMerge w:val="continue"/>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505" w:type="dxa"/>
            <w:tcBorders>
              <w:left w:val="single" w:color="000000" w:sz="4" w:space="0"/>
              <w:bottom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539"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其中，面向高校毕业生专场数</w:t>
            </w:r>
          </w:p>
        </w:tc>
        <w:tc>
          <w:tcPr>
            <w:tcW w:w="528" w:type="dxa"/>
            <w:tcBorders>
              <w:left w:val="single" w:color="000000" w:sz="4" w:space="0"/>
              <w:bottom w:val="single" w:color="000000" w:sz="4" w:space="0"/>
            </w:tcBorders>
            <w:shd w:val="clear"/>
            <w:vAlign w:val="center"/>
          </w:tcPr>
          <w:p>
            <w:pPr>
              <w:jc w:val="center"/>
              <w:rPr>
                <w:rFonts w:hint="eastAsia" w:ascii="楷体_GB2312" w:hAnsi="宋体" w:eastAsia="楷体_GB2312" w:cs="楷体_GB2312"/>
                <w:b/>
                <w:i w:val="0"/>
                <w:color w:val="000000"/>
                <w:sz w:val="20"/>
                <w:szCs w:val="20"/>
                <w:u w:val="none"/>
              </w:rPr>
            </w:pPr>
          </w:p>
        </w:tc>
        <w:tc>
          <w:tcPr>
            <w:tcW w:w="517"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其中，面向高校毕业生招聘单位数</w:t>
            </w:r>
          </w:p>
        </w:tc>
        <w:tc>
          <w:tcPr>
            <w:tcW w:w="516" w:type="dxa"/>
            <w:tcBorders>
              <w:left w:val="single" w:color="000000" w:sz="4" w:space="0"/>
              <w:bottom w:val="single" w:color="000000" w:sz="4" w:space="0"/>
            </w:tcBorders>
            <w:shd w:val="clear"/>
            <w:vAlign w:val="center"/>
          </w:tcPr>
          <w:p>
            <w:pPr>
              <w:jc w:val="center"/>
              <w:rPr>
                <w:rFonts w:hint="eastAsia" w:ascii="楷体_GB2312" w:hAnsi="宋体" w:eastAsia="楷体_GB2312" w:cs="楷体_GB2312"/>
                <w:b/>
                <w:i w:val="0"/>
                <w:color w:val="000000"/>
                <w:sz w:val="20"/>
                <w:szCs w:val="20"/>
                <w:u w:val="none"/>
              </w:rPr>
            </w:pPr>
          </w:p>
        </w:tc>
        <w:tc>
          <w:tcPr>
            <w:tcW w:w="516"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其中，面向高校毕业生岗位数</w:t>
            </w:r>
          </w:p>
        </w:tc>
        <w:tc>
          <w:tcPr>
            <w:tcW w:w="516" w:type="dxa"/>
            <w:tcBorders>
              <w:left w:val="single" w:color="000000" w:sz="4" w:space="0"/>
              <w:bottom w:val="single" w:color="000000" w:sz="4" w:space="0"/>
            </w:tcBorders>
            <w:shd w:val="clear"/>
            <w:vAlign w:val="center"/>
          </w:tcPr>
          <w:p>
            <w:pPr>
              <w:jc w:val="center"/>
              <w:rPr>
                <w:rFonts w:hint="eastAsia" w:ascii="楷体_GB2312" w:hAnsi="宋体" w:eastAsia="楷体_GB2312" w:cs="楷体_GB2312"/>
                <w:b/>
                <w:i w:val="0"/>
                <w:color w:val="000000"/>
                <w:sz w:val="20"/>
                <w:szCs w:val="20"/>
                <w:u w:val="none"/>
              </w:rPr>
            </w:pPr>
          </w:p>
        </w:tc>
        <w:tc>
          <w:tcPr>
            <w:tcW w:w="517"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其中，高校毕业生求职人数</w:t>
            </w:r>
          </w:p>
        </w:tc>
        <w:tc>
          <w:tcPr>
            <w:tcW w:w="517" w:type="dxa"/>
            <w:tcBorders>
              <w:left w:val="single" w:color="000000" w:sz="4" w:space="0"/>
              <w:bottom w:val="single" w:color="000000" w:sz="4" w:space="0"/>
            </w:tcBorders>
            <w:shd w:val="clear"/>
            <w:vAlign w:val="center"/>
          </w:tcPr>
          <w:p>
            <w:pPr>
              <w:jc w:val="center"/>
              <w:rPr>
                <w:rFonts w:hint="eastAsia" w:ascii="楷体_GB2312" w:hAnsi="宋体" w:eastAsia="楷体_GB2312" w:cs="楷体_GB2312"/>
                <w:b/>
                <w:i w:val="0"/>
                <w:color w:val="000000"/>
                <w:sz w:val="20"/>
                <w:szCs w:val="20"/>
                <w:u w:val="none"/>
              </w:rPr>
            </w:pPr>
          </w:p>
        </w:tc>
        <w:tc>
          <w:tcPr>
            <w:tcW w:w="516"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其中，高校毕业生简历数</w:t>
            </w:r>
          </w:p>
        </w:tc>
        <w:tc>
          <w:tcPr>
            <w:tcW w:w="516" w:type="dxa"/>
            <w:tcBorders>
              <w:left w:val="single" w:color="000000" w:sz="4" w:space="0"/>
              <w:bottom w:val="single" w:color="000000" w:sz="4" w:space="0"/>
            </w:tcBorders>
            <w:shd w:val="clear"/>
            <w:vAlign w:val="center"/>
          </w:tcPr>
          <w:p>
            <w:pPr>
              <w:jc w:val="center"/>
              <w:rPr>
                <w:rFonts w:hint="eastAsia" w:ascii="楷体_GB2312" w:hAnsi="宋体" w:eastAsia="楷体_GB2312" w:cs="楷体_GB2312"/>
                <w:b/>
                <w:i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其中，高校毕业生人数</w:t>
            </w:r>
          </w:p>
        </w:tc>
        <w:tc>
          <w:tcPr>
            <w:tcW w:w="459" w:type="dxa"/>
            <w:tcBorders>
              <w:left w:val="single" w:color="000000" w:sz="4" w:space="0"/>
              <w:bottom w:val="single" w:color="000000" w:sz="4" w:space="0"/>
            </w:tcBorders>
            <w:shd w:val="clear"/>
            <w:vAlign w:val="center"/>
          </w:tcPr>
          <w:p>
            <w:pPr>
              <w:jc w:val="center"/>
              <w:rPr>
                <w:rFonts w:hint="eastAsia" w:ascii="楷体_GB2312" w:hAnsi="宋体" w:eastAsia="楷体_GB2312" w:cs="楷体_GB2312"/>
                <w:b/>
                <w:i w:val="0"/>
                <w:color w:val="000000"/>
                <w:sz w:val="20"/>
                <w:szCs w:val="20"/>
                <w:u w:val="none"/>
              </w:rPr>
            </w:pPr>
          </w:p>
        </w:tc>
        <w:tc>
          <w:tcPr>
            <w:tcW w:w="413"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其中，面向高校毕业生专场数</w:t>
            </w:r>
          </w:p>
        </w:tc>
        <w:tc>
          <w:tcPr>
            <w:tcW w:w="516" w:type="dxa"/>
            <w:tcBorders>
              <w:left w:val="single" w:color="000000" w:sz="4" w:space="0"/>
              <w:bottom w:val="single" w:color="000000" w:sz="4" w:space="0"/>
            </w:tcBorders>
            <w:shd w:val="clear"/>
            <w:vAlign w:val="center"/>
          </w:tcPr>
          <w:p>
            <w:pPr>
              <w:jc w:val="center"/>
              <w:rPr>
                <w:rFonts w:hint="eastAsia" w:ascii="楷体_GB2312" w:hAnsi="宋体" w:eastAsia="楷体_GB2312" w:cs="楷体_GB2312"/>
                <w:b/>
                <w:i w:val="0"/>
                <w:color w:val="000000"/>
                <w:sz w:val="20"/>
                <w:szCs w:val="20"/>
                <w:u w:val="none"/>
              </w:rPr>
            </w:pPr>
          </w:p>
        </w:tc>
        <w:tc>
          <w:tcPr>
            <w:tcW w:w="517"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其中，面向高校毕业生招聘单位数</w:t>
            </w:r>
          </w:p>
        </w:tc>
        <w:tc>
          <w:tcPr>
            <w:tcW w:w="517" w:type="dxa"/>
            <w:tcBorders>
              <w:left w:val="single" w:color="000000" w:sz="4" w:space="0"/>
              <w:bottom w:val="single" w:color="000000" w:sz="4" w:space="0"/>
            </w:tcBorders>
            <w:shd w:val="clear"/>
            <w:vAlign w:val="center"/>
          </w:tcPr>
          <w:p>
            <w:pPr>
              <w:jc w:val="center"/>
              <w:rPr>
                <w:rFonts w:hint="eastAsia" w:ascii="楷体_GB2312" w:hAnsi="宋体" w:eastAsia="楷体_GB2312" w:cs="楷体_GB2312"/>
                <w:b/>
                <w:i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其中，面向高校毕业生岗</w:t>
            </w:r>
            <w:bookmarkStart w:id="0" w:name="_GoBack"/>
            <w:bookmarkEnd w:id="0"/>
            <w:r>
              <w:rPr>
                <w:rFonts w:hint="eastAsia" w:ascii="楷体_GB2312" w:hAnsi="宋体" w:eastAsia="楷体_GB2312" w:cs="楷体_GB2312"/>
                <w:b/>
                <w:i w:val="0"/>
                <w:color w:val="000000"/>
                <w:kern w:val="0"/>
                <w:sz w:val="20"/>
                <w:szCs w:val="20"/>
                <w:u w:val="none"/>
                <w:bdr w:val="none" w:color="auto" w:sz="0" w:space="0"/>
                <w:lang w:val="en-US" w:eastAsia="zh-CN" w:bidi="ar"/>
              </w:rPr>
              <w:t>位数</w:t>
            </w:r>
          </w:p>
        </w:tc>
        <w:tc>
          <w:tcPr>
            <w:tcW w:w="516" w:type="dxa"/>
            <w:tcBorders>
              <w:left w:val="single" w:color="000000" w:sz="4" w:space="0"/>
              <w:bottom w:val="single" w:color="000000" w:sz="4" w:space="0"/>
            </w:tcBorders>
            <w:shd w:val="clear"/>
            <w:vAlign w:val="center"/>
          </w:tcPr>
          <w:p>
            <w:pPr>
              <w:jc w:val="center"/>
              <w:rPr>
                <w:rFonts w:hint="eastAsia" w:ascii="楷体_GB2312" w:hAnsi="宋体" w:eastAsia="楷体_GB2312" w:cs="楷体_GB2312"/>
                <w:b/>
                <w:i w:val="0"/>
                <w:color w:val="000000"/>
                <w:sz w:val="20"/>
                <w:szCs w:val="20"/>
                <w:u w:val="none"/>
              </w:rPr>
            </w:pPr>
          </w:p>
        </w:tc>
        <w:tc>
          <w:tcPr>
            <w:tcW w:w="517"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其中，高校毕业生求职人数</w:t>
            </w:r>
          </w:p>
        </w:tc>
        <w:tc>
          <w:tcPr>
            <w:tcW w:w="494" w:type="dxa"/>
            <w:tcBorders>
              <w:left w:val="single" w:color="000000" w:sz="4" w:space="0"/>
              <w:bottom w:val="single" w:color="000000" w:sz="4" w:space="0"/>
            </w:tcBorders>
            <w:shd w:val="clear"/>
            <w:vAlign w:val="center"/>
          </w:tcPr>
          <w:p>
            <w:pPr>
              <w:jc w:val="center"/>
              <w:rPr>
                <w:rFonts w:hint="eastAsia" w:ascii="楷体_GB2312" w:hAnsi="宋体" w:eastAsia="楷体_GB2312" w:cs="楷体_GB2312"/>
                <w:b/>
                <w:i w:val="0"/>
                <w:color w:val="000000"/>
                <w:sz w:val="20"/>
                <w:szCs w:val="20"/>
                <w:u w:val="none"/>
              </w:rPr>
            </w:pPr>
          </w:p>
        </w:tc>
        <w:tc>
          <w:tcPr>
            <w:tcW w:w="516"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其中，高校毕业生简历数</w:t>
            </w:r>
          </w:p>
        </w:tc>
        <w:tc>
          <w:tcPr>
            <w:tcW w:w="516" w:type="dxa"/>
            <w:tcBorders>
              <w:left w:val="single" w:color="000000" w:sz="4" w:space="0"/>
              <w:bottom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517"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其中，面向高校毕业生专场数</w:t>
            </w:r>
          </w:p>
        </w:tc>
        <w:tc>
          <w:tcPr>
            <w:tcW w:w="516" w:type="dxa"/>
            <w:tcBorders>
              <w:left w:val="single" w:color="000000" w:sz="4" w:space="0"/>
              <w:bottom w:val="single" w:color="000000" w:sz="4" w:space="0"/>
            </w:tcBorders>
            <w:shd w:val="clear"/>
            <w:vAlign w:val="center"/>
          </w:tcPr>
          <w:p>
            <w:pPr>
              <w:jc w:val="center"/>
              <w:rPr>
                <w:rFonts w:hint="eastAsia" w:ascii="楷体_GB2312" w:hAnsi="宋体" w:eastAsia="楷体_GB2312" w:cs="楷体_GB2312"/>
                <w:b/>
                <w:i w:val="0"/>
                <w:color w:val="000000"/>
                <w:sz w:val="20"/>
                <w:szCs w:val="20"/>
                <w:u w:val="none"/>
              </w:rPr>
            </w:pPr>
          </w:p>
        </w:tc>
        <w:tc>
          <w:tcPr>
            <w:tcW w:w="516"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其中，面向高校毕业生招聘单位数</w:t>
            </w:r>
          </w:p>
        </w:tc>
        <w:tc>
          <w:tcPr>
            <w:tcW w:w="517" w:type="dxa"/>
            <w:tcBorders>
              <w:left w:val="single" w:color="000000" w:sz="4" w:space="0"/>
              <w:bottom w:val="single" w:color="000000" w:sz="4" w:space="0"/>
            </w:tcBorders>
            <w:shd w:val="clear"/>
            <w:vAlign w:val="center"/>
          </w:tcPr>
          <w:p>
            <w:pPr>
              <w:jc w:val="center"/>
              <w:rPr>
                <w:rFonts w:hint="eastAsia" w:ascii="楷体_GB2312" w:hAnsi="宋体" w:eastAsia="楷体_GB2312" w:cs="楷体_GB2312"/>
                <w:b/>
                <w:i w:val="0"/>
                <w:color w:val="000000"/>
                <w:sz w:val="20"/>
                <w:szCs w:val="20"/>
                <w:u w:val="none"/>
              </w:rPr>
            </w:pPr>
          </w:p>
        </w:tc>
        <w:tc>
          <w:tcPr>
            <w:tcW w:w="516"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其中，面向高校毕业生岗位数</w:t>
            </w:r>
          </w:p>
        </w:tc>
        <w:tc>
          <w:tcPr>
            <w:tcW w:w="516" w:type="dxa"/>
            <w:tcBorders>
              <w:left w:val="single" w:color="000000" w:sz="4" w:space="0"/>
              <w:bottom w:val="single" w:color="000000" w:sz="4" w:space="0"/>
            </w:tcBorders>
            <w:shd w:val="clear"/>
            <w:vAlign w:val="center"/>
          </w:tcPr>
          <w:p>
            <w:pPr>
              <w:jc w:val="center"/>
              <w:rPr>
                <w:rFonts w:hint="eastAsia" w:ascii="楷体_GB2312" w:hAnsi="宋体" w:eastAsia="楷体_GB2312" w:cs="楷体_GB2312"/>
                <w:b/>
                <w:i w:val="0"/>
                <w:color w:val="000000"/>
                <w:sz w:val="20"/>
                <w:szCs w:val="20"/>
                <w:u w:val="none"/>
              </w:rPr>
            </w:pPr>
          </w:p>
        </w:tc>
        <w:tc>
          <w:tcPr>
            <w:tcW w:w="517"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其中，高校毕业生求职人数</w:t>
            </w:r>
          </w:p>
        </w:tc>
        <w:tc>
          <w:tcPr>
            <w:tcW w:w="516" w:type="dxa"/>
            <w:tcBorders>
              <w:left w:val="single" w:color="000000" w:sz="4" w:space="0"/>
              <w:bottom w:val="single" w:color="000000" w:sz="4" w:space="0"/>
            </w:tcBorders>
            <w:shd w:val="clear"/>
            <w:vAlign w:val="center"/>
          </w:tcPr>
          <w:p>
            <w:pPr>
              <w:jc w:val="center"/>
              <w:rPr>
                <w:rFonts w:hint="eastAsia" w:ascii="楷体_GB2312" w:hAnsi="宋体" w:eastAsia="楷体_GB2312" w:cs="楷体_GB2312"/>
                <w:b/>
                <w:i w:val="0"/>
                <w:color w:val="000000"/>
                <w:sz w:val="20"/>
                <w:szCs w:val="20"/>
                <w:u w:val="none"/>
              </w:rPr>
            </w:pPr>
          </w:p>
        </w:tc>
        <w:tc>
          <w:tcPr>
            <w:tcW w:w="516"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bdr w:val="none" w:color="auto" w:sz="0" w:space="0"/>
                <w:lang w:val="en-US" w:eastAsia="zh-CN" w:bidi="ar"/>
              </w:rPr>
              <w:t>其中，高校毕业生简历数</w:t>
            </w:r>
          </w:p>
        </w:tc>
        <w:tc>
          <w:tcPr>
            <w:tcW w:w="5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9" w:hRule="atLeast"/>
        </w:trPr>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2</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3</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4</w:t>
            </w:r>
          </w:p>
        </w:tc>
        <w:tc>
          <w:tcPr>
            <w:tcW w:w="4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5</w:t>
            </w:r>
          </w:p>
        </w:tc>
        <w:tc>
          <w:tcPr>
            <w:tcW w:w="505"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bdr w:val="none" w:color="auto" w:sz="0" w:space="0"/>
                <w:lang w:val="en-US" w:eastAsia="zh-CN" w:bidi="ar"/>
              </w:rPr>
              <w:t>6</w:t>
            </w: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7</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8</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9</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11</w:t>
            </w:r>
          </w:p>
        </w:tc>
        <w:tc>
          <w:tcPr>
            <w:tcW w:w="51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bdr w:val="none" w:color="auto" w:sz="0" w:space="0"/>
                <w:lang w:val="en-US" w:eastAsia="zh-CN" w:bidi="ar"/>
              </w:rPr>
              <w:t>12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13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14</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15</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16</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17</w:t>
            </w:r>
          </w:p>
        </w:tc>
        <w:tc>
          <w:tcPr>
            <w:tcW w:w="45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bdr w:val="none" w:color="auto" w:sz="0" w:space="0"/>
                <w:lang w:val="en-US" w:eastAsia="zh-CN" w:bidi="ar"/>
              </w:rPr>
              <w:t>18</w:t>
            </w:r>
          </w:p>
        </w:tc>
        <w:tc>
          <w:tcPr>
            <w:tcW w:w="4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19</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20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21</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22</w:t>
            </w:r>
          </w:p>
        </w:tc>
        <w:tc>
          <w:tcPr>
            <w:tcW w:w="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23</w:t>
            </w:r>
          </w:p>
        </w:tc>
        <w:tc>
          <w:tcPr>
            <w:tcW w:w="51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bdr w:val="none" w:color="auto" w:sz="0" w:space="0"/>
                <w:lang w:val="en-US" w:eastAsia="zh-CN" w:bidi="ar"/>
              </w:rPr>
              <w:t>24</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25</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26</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27</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28</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29</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30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31</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32</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33</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34</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35</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36</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37</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38</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39</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41</w:t>
            </w:r>
          </w:p>
        </w:tc>
        <w:tc>
          <w:tcPr>
            <w:tcW w:w="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bdr w:val="none" w:color="auto" w:sz="0" w:space="0"/>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538" w:hRule="atLeast"/>
        </w:trPr>
        <w:tc>
          <w:tcPr>
            <w:tcW w:w="47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46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1197</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600</w:t>
            </w:r>
          </w:p>
        </w:tc>
        <w:tc>
          <w:tcPr>
            <w:tcW w:w="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w:t>
            </w:r>
          </w:p>
        </w:tc>
        <w:tc>
          <w:tcPr>
            <w:tcW w:w="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1" w:hRule="atLeast"/>
        </w:trPr>
        <w:tc>
          <w:tcPr>
            <w:tcW w:w="21240" w:type="dxa"/>
            <w:gridSpan w:val="42"/>
            <w:shd w:val="clear"/>
            <w:vAlign w:val="center"/>
          </w:tcPr>
          <w:p>
            <w:pPr>
              <w:keepNext w:val="0"/>
              <w:keepLines w:val="0"/>
              <w:widowControl/>
              <w:suppressLineNumbers w:val="0"/>
              <w:jc w:val="left"/>
              <w:textAlignment w:val="center"/>
              <w:rPr>
                <w:rFonts w:hint="eastAsia" w:ascii="楷体_GB2312" w:hAnsi="宋体" w:eastAsia="楷体_GB2312" w:cs="楷体_GB2312"/>
                <w:b/>
                <w:i w:val="0"/>
                <w:color w:val="000000"/>
                <w:sz w:val="22"/>
                <w:szCs w:val="22"/>
                <w:u w:val="none"/>
              </w:rPr>
            </w:pPr>
            <w:r>
              <w:rPr>
                <w:rFonts w:hint="eastAsia" w:ascii="楷体_GB2312" w:hAnsi="宋体" w:eastAsia="楷体_GB2312" w:cs="楷体_GB2312"/>
                <w:b/>
                <w:i w:val="0"/>
                <w:color w:val="000000"/>
                <w:kern w:val="0"/>
                <w:sz w:val="22"/>
                <w:szCs w:val="22"/>
                <w:u w:val="none"/>
                <w:bdr w:val="none" w:color="auto" w:sz="0" w:space="0"/>
                <w:lang w:val="en-US" w:eastAsia="zh-CN" w:bidi="ar"/>
              </w:rPr>
              <w:t>说明：1.本表由各市级牵头机构统一汇总后发送至市人才交流中心邮箱rczxscb@163.com。</w:t>
            </w:r>
            <w:r>
              <w:rPr>
                <w:rFonts w:hint="eastAsia" w:ascii="楷体_GB2312" w:hAnsi="宋体" w:eastAsia="楷体_GB2312" w:cs="楷体_GB2312"/>
                <w:b/>
                <w:i w:val="0"/>
                <w:color w:val="000000"/>
                <w:kern w:val="0"/>
                <w:sz w:val="22"/>
                <w:szCs w:val="22"/>
                <w:u w:val="none"/>
                <w:bdr w:val="none" w:color="auto" w:sz="0" w:space="0"/>
                <w:lang w:val="en-US" w:eastAsia="zh-CN" w:bidi="ar"/>
              </w:rPr>
              <w:br w:type="textWrapping"/>
            </w:r>
            <w:r>
              <w:rPr>
                <w:rFonts w:hint="eastAsia" w:ascii="楷体_GB2312" w:hAnsi="宋体" w:eastAsia="楷体_GB2312" w:cs="楷体_GB2312"/>
                <w:b/>
                <w:i w:val="0"/>
                <w:color w:val="000000"/>
                <w:kern w:val="0"/>
                <w:sz w:val="22"/>
                <w:szCs w:val="22"/>
                <w:u w:val="none"/>
                <w:bdr w:val="none" w:color="auto" w:sz="0" w:space="0"/>
                <w:lang w:val="en-US" w:eastAsia="zh-CN" w:bidi="ar"/>
              </w:rPr>
              <w:t xml:space="preserve">      2.需填写活动期间所有公共就业人才服务机构及各类人力资源服务机构开展的招聘会数据情况。</w:t>
            </w:r>
            <w:r>
              <w:rPr>
                <w:rFonts w:hint="eastAsia" w:ascii="楷体_GB2312" w:hAnsi="宋体" w:eastAsia="楷体_GB2312" w:cs="楷体_GB2312"/>
                <w:b/>
                <w:i w:val="0"/>
                <w:color w:val="000000"/>
                <w:kern w:val="0"/>
                <w:sz w:val="22"/>
                <w:szCs w:val="22"/>
                <w:u w:val="none"/>
                <w:bdr w:val="none" w:color="auto" w:sz="0" w:space="0"/>
                <w:lang w:val="en-US" w:eastAsia="zh-CN" w:bidi="ar"/>
              </w:rPr>
              <w:br w:type="textWrapping"/>
            </w:r>
            <w:r>
              <w:rPr>
                <w:rFonts w:hint="eastAsia" w:ascii="楷体_GB2312" w:hAnsi="宋体" w:eastAsia="楷体_GB2312" w:cs="楷体_GB2312"/>
                <w:b/>
                <w:i w:val="0"/>
                <w:color w:val="000000"/>
                <w:kern w:val="0"/>
                <w:sz w:val="22"/>
                <w:szCs w:val="22"/>
                <w:u w:val="none"/>
                <w:bdr w:val="none" w:color="auto" w:sz="0" w:space="0"/>
                <w:lang w:val="en-US" w:eastAsia="zh-CN" w:bidi="ar"/>
              </w:rPr>
              <w:t xml:space="preserve">      3.9月15日下班前报送，数据为累计数据。 </w:t>
            </w:r>
          </w:p>
        </w:tc>
      </w:tr>
    </w:tbl>
    <w:p>
      <w:pPr>
        <w:sectPr>
          <w:pgSz w:w="23757" w:h="16783" w:orient="landscape"/>
          <w:pgMar w:top="1800" w:right="1440" w:bottom="1800" w:left="1440" w:header="851" w:footer="992" w:gutter="0"/>
          <w:cols w:space="425" w:num="1"/>
          <w:docGrid w:type="lines" w:linePitch="312" w:charSpace="0"/>
        </w:sectPr>
      </w:pPr>
    </w:p>
    <w:p>
      <w:pPr>
        <w:sectPr>
          <w:pgSz w:w="11906" w:h="16838"/>
          <w:pgMar w:top="1440" w:right="1800" w:bottom="1440" w:left="1800" w:header="851" w:footer="992" w:gutter="0"/>
          <w:cols w:space="425" w:num="1"/>
          <w:docGrid w:type="lines" w:linePitch="312" w:charSpace="0"/>
        </w:sectPr>
      </w:pPr>
    </w:p>
    <w:p/>
    <w:p>
      <w:pPr>
        <w:rPr>
          <w:rFonts w:hint="eastAsia" w:eastAsiaTheme="minorEastAsia"/>
          <w:lang w:eastAsia="zh-CN"/>
        </w:rPr>
      </w:pPr>
      <w:r>
        <w:rPr>
          <w:rFonts w:hint="eastAsia" w:eastAsiaTheme="minorEastAsia"/>
          <w:lang w:eastAsia="zh-CN"/>
        </w:rPr>
        <w:drawing>
          <wp:inline distT="0" distB="0" distL="114300" distR="114300">
            <wp:extent cx="5264150" cy="3946525"/>
            <wp:effectExtent l="0" t="0" r="12700" b="15875"/>
            <wp:docPr id="4" name="图片 4" descr="0d8768213e0529b199b0769233448f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d8768213e0529b199b0769233448f58"/>
                    <pic:cNvPicPr>
                      <a:picLocks noChangeAspect="1"/>
                    </pic:cNvPicPr>
                  </pic:nvPicPr>
                  <pic:blipFill>
                    <a:blip r:embed="rId4"/>
                    <a:stretch>
                      <a:fillRect/>
                    </a:stretch>
                  </pic:blipFill>
                  <pic:spPr>
                    <a:xfrm>
                      <a:off x="0" y="0"/>
                      <a:ext cx="5264150" cy="3946525"/>
                    </a:xfrm>
                    <a:prstGeom prst="rect">
                      <a:avLst/>
                    </a:prstGeom>
                  </pic:spPr>
                </pic:pic>
              </a:graphicData>
            </a:graphic>
          </wp:inline>
        </w:drawing>
      </w:r>
      <w:r>
        <w:rPr>
          <w:rFonts w:hint="eastAsia" w:eastAsiaTheme="minorEastAsia"/>
          <w:lang w:eastAsia="zh-CN"/>
        </w:rPr>
        <w:drawing>
          <wp:inline distT="0" distB="0" distL="114300" distR="114300">
            <wp:extent cx="5266055" cy="3666490"/>
            <wp:effectExtent l="0" t="0" r="10795" b="10160"/>
            <wp:docPr id="3" name="图片 3" descr="1c163d10f85f02c531715db44abd8d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c163d10f85f02c531715db44abd8db2"/>
                    <pic:cNvPicPr>
                      <a:picLocks noChangeAspect="1"/>
                    </pic:cNvPicPr>
                  </pic:nvPicPr>
                  <pic:blipFill>
                    <a:blip r:embed="rId5"/>
                    <a:stretch>
                      <a:fillRect/>
                    </a:stretch>
                  </pic:blipFill>
                  <pic:spPr>
                    <a:xfrm>
                      <a:off x="0" y="0"/>
                      <a:ext cx="5266055" cy="3666490"/>
                    </a:xfrm>
                    <a:prstGeom prst="rect">
                      <a:avLst/>
                    </a:prstGeom>
                  </pic:spPr>
                </pic:pic>
              </a:graphicData>
            </a:graphic>
          </wp:inline>
        </w:drawing>
      </w:r>
      <w:r>
        <w:rPr>
          <w:rFonts w:hint="eastAsia" w:eastAsiaTheme="minorEastAsia"/>
          <w:lang w:eastAsia="zh-CN"/>
        </w:rPr>
        <w:drawing>
          <wp:inline distT="0" distB="0" distL="114300" distR="114300">
            <wp:extent cx="2300605" cy="4461510"/>
            <wp:effectExtent l="0" t="0" r="4445" b="15240"/>
            <wp:docPr id="2" name="图片 2" descr="9a1fb59fd0be05e617695c7b7df566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a1fb59fd0be05e617695c7b7df5668c"/>
                    <pic:cNvPicPr>
                      <a:picLocks noChangeAspect="1"/>
                    </pic:cNvPicPr>
                  </pic:nvPicPr>
                  <pic:blipFill>
                    <a:blip r:embed="rId6"/>
                    <a:stretch>
                      <a:fillRect/>
                    </a:stretch>
                  </pic:blipFill>
                  <pic:spPr>
                    <a:xfrm>
                      <a:off x="0" y="0"/>
                      <a:ext cx="2300605" cy="4461510"/>
                    </a:xfrm>
                    <a:prstGeom prst="rect">
                      <a:avLst/>
                    </a:prstGeom>
                  </pic:spPr>
                </pic:pic>
              </a:graphicData>
            </a:graphic>
          </wp:inline>
        </w:drawing>
      </w:r>
      <w:r>
        <w:rPr>
          <w:rFonts w:hint="eastAsia" w:eastAsiaTheme="minorEastAsia"/>
          <w:lang w:eastAsia="zh-CN"/>
        </w:rPr>
        <w:drawing>
          <wp:inline distT="0" distB="0" distL="114300" distR="114300">
            <wp:extent cx="2452370" cy="4486910"/>
            <wp:effectExtent l="0" t="0" r="5080" b="8890"/>
            <wp:docPr id="1" name="图片 1" descr="66afcdabec79033272d78834c5d906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afcdabec79033272d78834c5d9069d"/>
                    <pic:cNvPicPr>
                      <a:picLocks noChangeAspect="1"/>
                    </pic:cNvPicPr>
                  </pic:nvPicPr>
                  <pic:blipFill>
                    <a:blip r:embed="rId7"/>
                    <a:stretch>
                      <a:fillRect/>
                    </a:stretch>
                  </pic:blipFill>
                  <pic:spPr>
                    <a:xfrm>
                      <a:off x="0" y="0"/>
                      <a:ext cx="2452370" cy="4486910"/>
                    </a:xfrm>
                    <a:prstGeom prst="rect">
                      <a:avLst/>
                    </a:prstGeom>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12301"/>
    <w:multiLevelType w:val="singleLevel"/>
    <w:tmpl w:val="2FD123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70197"/>
    <w:rsid w:val="1A89451A"/>
    <w:rsid w:val="2A787ED2"/>
    <w:rsid w:val="31560A6A"/>
    <w:rsid w:val="37DC3A83"/>
    <w:rsid w:val="41F9751E"/>
    <w:rsid w:val="4DF22B3D"/>
    <w:rsid w:val="51E9414A"/>
    <w:rsid w:val="631E4199"/>
    <w:rsid w:val="67C1353F"/>
    <w:rsid w:val="72AF2EBE"/>
    <w:rsid w:val="76195F38"/>
    <w:rsid w:val="7A613505"/>
    <w:rsid w:val="7A91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2025-09-11T01:06:00Z</dcterms:created>
  <dc:creator>Administrator</dc:creator>
  <cp:lastModifiedBy>Administrator</cp:lastModifiedBy>
  <cp:lastPrinted>2025-09-11T08:25:00Z</cp:lastPrinted>
  <dcterms:modified xsi:type="dcterms:W3CDTF">2025-11-19T08:21:53Z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eyJoZGlkIjoiYzE4ZDM1NGFmYzYxNzgyMzJjZDg4NmY1Y2U1YmEwNTQiLCJ1c2VySWQiOiI4MjQ2MjE4NTQifQ==</vt:lpwstr>
  </property>
  <property fmtid="{D5CDD505-2E9C-101B-9397-08002B2CF9AE}" pid="4" name="ICV">
    <vt:lpwstr>357E581FBCA447BC8B74F6AC9C96B394_12</vt:lpwstr>
  </property>
</Properties>
</file>